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593DDD" w14:textId="5AB7D81C" w:rsidR="00686697" w:rsidRPr="00821AB7" w:rsidRDefault="00686697" w:rsidP="00686697">
      <w:pPr>
        <w:pStyle w:val="3GPPHeader"/>
        <w:spacing w:after="60"/>
        <w:rPr>
          <w:sz w:val="32"/>
          <w:szCs w:val="32"/>
        </w:rPr>
      </w:pPr>
      <w:r>
        <w:t>3GPP TSG-RAN WG2 #97</w:t>
      </w:r>
      <w:r w:rsidR="00DE6E02">
        <w:t>bis</w:t>
      </w:r>
      <w:r>
        <w:tab/>
      </w:r>
      <w:r>
        <w:rPr>
          <w:sz w:val="32"/>
          <w:szCs w:val="32"/>
        </w:rPr>
        <w:t xml:space="preserve">Tdoc </w:t>
      </w:r>
      <w:r w:rsidR="00FD0E82" w:rsidRPr="00085167">
        <w:rPr>
          <w:sz w:val="32"/>
        </w:rPr>
        <w:t>R2-1702745</w:t>
      </w:r>
    </w:p>
    <w:p w14:paraId="5BA7368D" w14:textId="200F5D18" w:rsidR="00686697" w:rsidRPr="0047482A" w:rsidRDefault="00DE6E02" w:rsidP="00DE6E02">
      <w:pPr>
        <w:pStyle w:val="3GPPHeader"/>
        <w:rPr>
          <w:b w:val="0"/>
        </w:rPr>
      </w:pPr>
      <w:r>
        <w:t>Spokane, USA, 3</w:t>
      </w:r>
      <w:r>
        <w:rPr>
          <w:vertAlign w:val="superscript"/>
        </w:rPr>
        <w:t>rd</w:t>
      </w:r>
      <w:r>
        <w:t xml:space="preserve"> – 7</w:t>
      </w:r>
      <w:r>
        <w:rPr>
          <w:vertAlign w:val="superscript"/>
        </w:rPr>
        <w:t>th</w:t>
      </w:r>
      <w:r>
        <w:t xml:space="preserve"> April 2017</w:t>
      </w:r>
      <w:r w:rsidR="00F27FC5">
        <w:tab/>
      </w:r>
    </w:p>
    <w:p w14:paraId="38E4B54F" w14:textId="77777777" w:rsidR="00686697" w:rsidRPr="00CE0424" w:rsidRDefault="00686697" w:rsidP="00686697">
      <w:pPr>
        <w:pStyle w:val="3GPPHeader"/>
      </w:pPr>
    </w:p>
    <w:p w14:paraId="439F1EFB" w14:textId="357B9B23" w:rsidR="00140DC8" w:rsidRPr="00833657" w:rsidRDefault="00140DC8" w:rsidP="00140DC8">
      <w:pPr>
        <w:pStyle w:val="3GPPHeader"/>
        <w:rPr>
          <w:sz w:val="22"/>
          <w:szCs w:val="22"/>
        </w:rPr>
      </w:pPr>
      <w:r w:rsidRPr="00833657">
        <w:rPr>
          <w:sz w:val="22"/>
          <w:szCs w:val="22"/>
        </w:rPr>
        <w:t>Agenda Item:</w:t>
      </w:r>
      <w:r w:rsidRPr="00833657">
        <w:rPr>
          <w:sz w:val="22"/>
          <w:szCs w:val="22"/>
        </w:rPr>
        <w:tab/>
      </w:r>
      <w:r w:rsidR="000561F2" w:rsidRPr="00833657">
        <w:rPr>
          <w:sz w:val="22"/>
          <w:szCs w:val="22"/>
        </w:rPr>
        <w:t>10.3.1.5</w:t>
      </w:r>
    </w:p>
    <w:p w14:paraId="4A746DF5" w14:textId="77777777" w:rsidR="00140DC8" w:rsidRDefault="00140DC8" w:rsidP="00140DC8">
      <w:pPr>
        <w:pStyle w:val="3GPPHeader"/>
        <w:rPr>
          <w:sz w:val="22"/>
          <w:szCs w:val="22"/>
        </w:rPr>
      </w:pPr>
      <w:r>
        <w:rPr>
          <w:sz w:val="22"/>
          <w:szCs w:val="22"/>
        </w:rPr>
        <w:t>Source:</w:t>
      </w:r>
      <w:r>
        <w:rPr>
          <w:sz w:val="22"/>
          <w:szCs w:val="22"/>
        </w:rPr>
        <w:tab/>
        <w:t>Ericsson</w:t>
      </w:r>
    </w:p>
    <w:p w14:paraId="4DCAD55B" w14:textId="7C5F59E1" w:rsidR="00686697" w:rsidRPr="00F07031" w:rsidRDefault="00686697" w:rsidP="00686697">
      <w:pPr>
        <w:pStyle w:val="3GPPHeader"/>
        <w:rPr>
          <w:sz w:val="22"/>
          <w:szCs w:val="22"/>
        </w:rPr>
      </w:pPr>
      <w:r w:rsidRPr="00F07031">
        <w:rPr>
          <w:sz w:val="22"/>
          <w:szCs w:val="22"/>
        </w:rPr>
        <w:t>Title:</w:t>
      </w:r>
      <w:r w:rsidRPr="00F07031">
        <w:rPr>
          <w:sz w:val="22"/>
          <w:szCs w:val="22"/>
        </w:rPr>
        <w:tab/>
      </w:r>
      <w:r w:rsidR="00A02C19">
        <w:rPr>
          <w:sz w:val="22"/>
          <w:szCs w:val="22"/>
        </w:rPr>
        <w:t xml:space="preserve">SR and BSR </w:t>
      </w:r>
      <w:r w:rsidR="00833657">
        <w:rPr>
          <w:sz w:val="22"/>
          <w:szCs w:val="22"/>
        </w:rPr>
        <w:t xml:space="preserve">signalling </w:t>
      </w:r>
      <w:r w:rsidR="00A02C19">
        <w:rPr>
          <w:sz w:val="22"/>
          <w:szCs w:val="22"/>
        </w:rPr>
        <w:t xml:space="preserve">content </w:t>
      </w:r>
      <w:r>
        <w:rPr>
          <w:sz w:val="22"/>
          <w:szCs w:val="22"/>
        </w:rPr>
        <w:t>in NR</w:t>
      </w:r>
    </w:p>
    <w:p w14:paraId="7967DEDE" w14:textId="77777777" w:rsidR="00686697" w:rsidRPr="00CE0424" w:rsidRDefault="00686697" w:rsidP="00686697">
      <w:pPr>
        <w:pStyle w:val="3GPPHeader"/>
        <w:rPr>
          <w:sz w:val="22"/>
          <w:szCs w:val="22"/>
        </w:rPr>
      </w:pPr>
      <w:r w:rsidRPr="00F07031">
        <w:rPr>
          <w:sz w:val="22"/>
          <w:szCs w:val="22"/>
        </w:rPr>
        <w:t>Document for:</w:t>
      </w:r>
      <w:r w:rsidRPr="00F07031">
        <w:rPr>
          <w:sz w:val="22"/>
          <w:szCs w:val="22"/>
        </w:rPr>
        <w:tab/>
        <w:t>Discussion, Decision</w:t>
      </w:r>
    </w:p>
    <w:p w14:paraId="3DD46162" w14:textId="77777777" w:rsidR="00E05483" w:rsidRDefault="00E05483" w:rsidP="00E05483">
      <w:pPr>
        <w:pStyle w:val="Heading1"/>
        <w:numPr>
          <w:ilvl w:val="0"/>
          <w:numId w:val="16"/>
        </w:numPr>
        <w:textAlignment w:val="auto"/>
      </w:pPr>
      <w:r>
        <w:t>Introduction</w:t>
      </w:r>
    </w:p>
    <w:p w14:paraId="475591BE" w14:textId="5156DD37" w:rsidR="00F27FC5" w:rsidRDefault="00E05483" w:rsidP="00E05483">
      <w:pPr>
        <w:rPr>
          <w:bCs/>
          <w:lang w:val="en-US"/>
        </w:rPr>
      </w:pPr>
      <w:r>
        <w:rPr>
          <w:bCs/>
          <w:lang w:val="en-US"/>
        </w:rPr>
        <w:t xml:space="preserve">Uplink scheduling is a key functionality </w:t>
      </w:r>
      <w:r w:rsidR="00821AB7" w:rsidRPr="00821AB7">
        <w:rPr>
          <w:bCs/>
          <w:lang w:val="en-US"/>
        </w:rPr>
        <w:t>to meet a broad range of use cases including enhanced mobile broadband, massive MTC, critical MTC, and additional requirements defined during the RAN requirements study</w:t>
      </w:r>
      <w:r w:rsidR="00821AB7">
        <w:rPr>
          <w:bCs/>
          <w:lang w:val="en-US"/>
        </w:rPr>
        <w:t>. Details to how this functionality can be designed, compared to the baseline framework of LTE</w:t>
      </w:r>
      <w:r w:rsidR="00821AB7" w:rsidRPr="00821AB7">
        <w:rPr>
          <w:bCs/>
          <w:lang w:val="en-US"/>
        </w:rPr>
        <w:t xml:space="preserve"> </w:t>
      </w:r>
      <w:r>
        <w:rPr>
          <w:bCs/>
          <w:lang w:val="en-US"/>
        </w:rPr>
        <w:t>is discussed in contribution</w:t>
      </w:r>
      <w:r w:rsidR="0076276C">
        <w:rPr>
          <w:bCs/>
          <w:lang w:val="en-US"/>
        </w:rPr>
        <w:t>s</w:t>
      </w:r>
      <w:r>
        <w:rPr>
          <w:bCs/>
          <w:lang w:val="en-US"/>
        </w:rPr>
        <w:t>.</w:t>
      </w:r>
      <w:r w:rsidR="0076276C">
        <w:rPr>
          <w:bCs/>
          <w:lang w:val="en-US"/>
        </w:rPr>
        <w:t xml:space="preserve"> We prepare two contributions focusing on different aspects. This contribution discusses what actual information should be carried by SR and BSR. Another contribution addresses when to trigger SR and BSR </w:t>
      </w:r>
      <w:r w:rsidR="000754C3">
        <w:rPr>
          <w:bCs/>
          <w:lang w:val="en-US"/>
        </w:rPr>
        <w:t>[</w:t>
      </w:r>
      <w:r w:rsidR="00B3329B">
        <w:rPr>
          <w:bCs/>
          <w:lang w:val="en-US"/>
        </w:rPr>
        <w:t>1</w:t>
      </w:r>
      <w:r w:rsidR="0076276C">
        <w:rPr>
          <w:bCs/>
          <w:lang w:val="en-US"/>
        </w:rPr>
        <w:t>].</w:t>
      </w:r>
    </w:p>
    <w:p w14:paraId="03CF10DC" w14:textId="1E1EB07A" w:rsidR="00E05483" w:rsidRDefault="00E05483" w:rsidP="00E05483">
      <w:pPr>
        <w:pStyle w:val="Heading1"/>
        <w:numPr>
          <w:ilvl w:val="0"/>
          <w:numId w:val="16"/>
        </w:numPr>
        <w:textAlignment w:val="auto"/>
      </w:pPr>
      <w:bookmarkStart w:id="0" w:name="_Ref178064866"/>
      <w:r>
        <w:t>Discussion</w:t>
      </w:r>
      <w:bookmarkEnd w:id="0"/>
    </w:p>
    <w:p w14:paraId="15318027" w14:textId="49054AE4" w:rsidR="00A02C19" w:rsidRPr="00A02C19" w:rsidRDefault="00A02C19" w:rsidP="00A46C19">
      <w:r>
        <w:t xml:space="preserve">We first briefly discuss LTE SR/BSR as background information, to motivate some necessary enhancements for SR and BSR </w:t>
      </w:r>
      <w:r w:rsidR="004F1324">
        <w:t xml:space="preserve">focusing on the signalling content </w:t>
      </w:r>
      <w:r>
        <w:t>in NR.</w:t>
      </w:r>
    </w:p>
    <w:p w14:paraId="39C66778" w14:textId="77777777" w:rsidR="00E05483" w:rsidRDefault="00E05483" w:rsidP="00E05483">
      <w:pPr>
        <w:pStyle w:val="Heading2"/>
        <w:numPr>
          <w:ilvl w:val="1"/>
          <w:numId w:val="16"/>
        </w:numPr>
        <w:textAlignment w:val="auto"/>
      </w:pPr>
      <w:bookmarkStart w:id="1" w:name="_Ref462908420"/>
      <w:r>
        <w:t>Role of SR and BSR</w:t>
      </w:r>
      <w:bookmarkEnd w:id="1"/>
    </w:p>
    <w:p w14:paraId="0B7C37A1" w14:textId="0CA1DDA8" w:rsidR="00E05483" w:rsidRDefault="00D85B16" w:rsidP="00FD1334">
      <w:r>
        <w:t xml:space="preserve">In LTE, scheduling requests (SRs) </w:t>
      </w:r>
      <w:r>
        <w:rPr>
          <w:noProof/>
        </w:rPr>
        <w:t xml:space="preserve">are used for requesting UL-SCH resources for new transmissions when the UE has no valid grant. If </w:t>
      </w:r>
      <w:r>
        <w:t xml:space="preserve">SRs are not configured for the UE, the UE </w:t>
      </w:r>
      <w:r>
        <w:rPr>
          <w:noProof/>
        </w:rPr>
        <w:t>initiates a Random Access procedure in order to get scheduled in UL.</w:t>
      </w:r>
      <w:r>
        <w:t xml:space="preserve"> In LTE SRs consists of only one bit of information and indicates only that the UE needs an UL grant. This means that upon the reception of SR, </w:t>
      </w:r>
      <w:r w:rsidR="00BE02C2">
        <w:t xml:space="preserve">the </w:t>
      </w:r>
      <w:r>
        <w:t>gNB knows neither which logical channel (associated with certain QCI) has data available for transmission, or the amount of data available for transmission at UE. Furthermore, in view of the latest RAN2 agreements, it should be noted that the numerology/TTI duration should be conveyed in the grant. This implies that the gNB must also be made aware of what numerology/TTI duration is desired by the UE for the upcoming transmission. In short, in NR an accurate grant cannot be provided to the UE only based on the one-bit information of the LTE type of SR.</w:t>
      </w:r>
    </w:p>
    <w:p w14:paraId="376EC539" w14:textId="1E942659" w:rsidR="00E05483" w:rsidRDefault="00D85B16" w:rsidP="008A0EB2">
      <w:pPr>
        <w:pStyle w:val="Observation"/>
      </w:pPr>
      <w:bookmarkStart w:id="2" w:name="_Toc462415622"/>
      <w:bookmarkStart w:id="3" w:name="_Toc462677329"/>
      <w:bookmarkStart w:id="4" w:name="_Toc462859219"/>
      <w:bookmarkStart w:id="5" w:name="_Toc462998266"/>
      <w:bookmarkStart w:id="6" w:name="_Toc465840859"/>
      <w:bookmarkStart w:id="7" w:name="_Toc469921859"/>
      <w:bookmarkStart w:id="8" w:name="_Toc470090101"/>
      <w:bookmarkStart w:id="9" w:name="_Toc471120357"/>
      <w:bookmarkStart w:id="10" w:name="_Toc471302674"/>
      <w:bookmarkStart w:id="11" w:name="_Toc476836881"/>
      <w:bookmarkStart w:id="12" w:name="_Toc478044325"/>
      <w:r>
        <w:t xml:space="preserve">LTE scheduling request </w:t>
      </w:r>
      <w:r w:rsidR="00640CE9">
        <w:t>saves</w:t>
      </w:r>
      <w:r>
        <w:t xml:space="preserve"> physical layer resources but does not provide sufficient information for efficient grant allocation in NR</w:t>
      </w:r>
      <w:r w:rsidR="00FD1334">
        <w:t>.</w:t>
      </w:r>
      <w:bookmarkEnd w:id="2"/>
      <w:bookmarkEnd w:id="3"/>
      <w:bookmarkEnd w:id="4"/>
      <w:bookmarkEnd w:id="5"/>
      <w:bookmarkEnd w:id="6"/>
      <w:bookmarkEnd w:id="7"/>
      <w:bookmarkEnd w:id="8"/>
      <w:bookmarkEnd w:id="9"/>
      <w:bookmarkEnd w:id="10"/>
      <w:bookmarkEnd w:id="11"/>
      <w:bookmarkEnd w:id="12"/>
    </w:p>
    <w:p w14:paraId="2F90FC37" w14:textId="4E3BFC58" w:rsidR="00E05483" w:rsidRDefault="00D85B16" w:rsidP="00E05483">
      <w:r>
        <w:t xml:space="preserve">Buffer Status Reports (BSRs) on the other hand carry more detailed information compared to SR. A BSR indicates buffer size for each LCG. However, the BSR requires a grant for transmission so it may take longer time until the gNB receives it since it may need to be preceded by an SR. The interaction </w:t>
      </w:r>
      <w:r w:rsidR="00E25B19">
        <w:t>between</w:t>
      </w:r>
      <w:r>
        <w:t xml:space="preserve"> SR, BSR and grant is exemplified in Figure 1</w:t>
      </w:r>
      <w:r w:rsidR="009A0C48">
        <w:t>.</w:t>
      </w:r>
    </w:p>
    <w:p w14:paraId="6828A205" w14:textId="77777777" w:rsidR="00FD1334" w:rsidRDefault="00FD1334" w:rsidP="00E05483"/>
    <w:p w14:paraId="79DC8410" w14:textId="77777777" w:rsidR="00E05483" w:rsidRDefault="00E05483" w:rsidP="00E05483"/>
    <w:p w14:paraId="1BC34962" w14:textId="60FDA3BF" w:rsidR="00E05483" w:rsidRDefault="0038380E" w:rsidP="00E05483">
      <w:pPr>
        <w:jc w:val="center"/>
      </w:pPr>
      <w:r w:rsidRPr="00734116">
        <w:rPr>
          <w:noProof/>
          <w:lang w:eastAsia="ja-JP"/>
        </w:rPr>
        <w:lastRenderedPageBreak/>
        <w:drawing>
          <wp:inline distT="0" distB="0" distL="0" distR="0" wp14:anchorId="650B7E18" wp14:editId="13814340">
            <wp:extent cx="2143760" cy="23983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43760" cy="2398395"/>
                    </a:xfrm>
                    <a:prstGeom prst="rect">
                      <a:avLst/>
                    </a:prstGeom>
                    <a:noFill/>
                  </pic:spPr>
                </pic:pic>
              </a:graphicData>
            </a:graphic>
          </wp:inline>
        </w:drawing>
      </w:r>
    </w:p>
    <w:p w14:paraId="2DE2F9E9" w14:textId="77777777" w:rsidR="00E05483" w:rsidRDefault="00E05483" w:rsidP="0088405D">
      <w:pPr>
        <w:pStyle w:val="Caption"/>
      </w:pPr>
      <w:bookmarkStart w:id="13" w:name="_Ref450773594"/>
      <w:r>
        <w:t xml:space="preserve">Figure </w:t>
      </w:r>
      <w:r>
        <w:fldChar w:fldCharType="begin"/>
      </w:r>
      <w:r>
        <w:instrText xml:space="preserve"> SEQ Figure \* ARABIC </w:instrText>
      </w:r>
      <w:r>
        <w:fldChar w:fldCharType="separate"/>
      </w:r>
      <w:r w:rsidR="00726AB4">
        <w:rPr>
          <w:noProof/>
        </w:rPr>
        <w:t>1</w:t>
      </w:r>
      <w:r>
        <w:fldChar w:fldCharType="end"/>
      </w:r>
      <w:bookmarkEnd w:id="13"/>
      <w:r>
        <w:t>: Scheduling procedure for dynamic scheduling</w:t>
      </w:r>
      <w:r w:rsidR="00B9093E">
        <w:t xml:space="preserve"> in LTE</w:t>
      </w:r>
    </w:p>
    <w:p w14:paraId="779A3A28" w14:textId="77777777" w:rsidR="00FD1334" w:rsidRDefault="00B9093E" w:rsidP="008A0EB2">
      <w:pPr>
        <w:pStyle w:val="Observation"/>
      </w:pPr>
      <w:bookmarkStart w:id="14" w:name="_Toc462415623"/>
      <w:bookmarkStart w:id="15" w:name="_Toc462677330"/>
      <w:bookmarkStart w:id="16" w:name="_Toc462859220"/>
      <w:bookmarkStart w:id="17" w:name="_Toc462998267"/>
      <w:bookmarkStart w:id="18" w:name="_Toc465840860"/>
      <w:bookmarkStart w:id="19" w:name="_Toc469921860"/>
      <w:bookmarkStart w:id="20" w:name="_Toc470090102"/>
      <w:bookmarkStart w:id="21" w:name="_Toc471120358"/>
      <w:bookmarkStart w:id="22" w:name="_Toc471302675"/>
      <w:bookmarkStart w:id="23" w:name="_Toc476836882"/>
      <w:bookmarkStart w:id="24" w:name="_Toc478044326"/>
      <w:r>
        <w:t xml:space="preserve">LTE </w:t>
      </w:r>
      <w:r w:rsidR="00FD1334">
        <w:t xml:space="preserve">BSRs provide more detailed information than an SR, but </w:t>
      </w:r>
      <w:r w:rsidR="004133D5">
        <w:t>it brings additional delay due to the need for a grant</w:t>
      </w:r>
      <w:r w:rsidR="00FD1334">
        <w:t>.</w:t>
      </w:r>
      <w:bookmarkEnd w:id="14"/>
      <w:bookmarkEnd w:id="15"/>
      <w:bookmarkEnd w:id="16"/>
      <w:bookmarkEnd w:id="17"/>
      <w:bookmarkEnd w:id="18"/>
      <w:bookmarkEnd w:id="19"/>
      <w:bookmarkEnd w:id="20"/>
      <w:bookmarkEnd w:id="21"/>
      <w:bookmarkEnd w:id="22"/>
      <w:bookmarkEnd w:id="23"/>
      <w:bookmarkEnd w:id="24"/>
      <w:r w:rsidR="00FD1334">
        <w:t xml:space="preserve"> </w:t>
      </w:r>
    </w:p>
    <w:p w14:paraId="72B5FA8D" w14:textId="4B7FB74D" w:rsidR="00CD2485" w:rsidRDefault="00731BAB" w:rsidP="008A0EB2">
      <w:r>
        <w:t>We believe the framework with SR/BSR from LTE in general works well but there may be room for improvements</w:t>
      </w:r>
      <w:r w:rsidR="0036397F">
        <w:t xml:space="preserve"> considering the above observations</w:t>
      </w:r>
      <w:r>
        <w:t xml:space="preserve">. </w:t>
      </w:r>
      <w:bookmarkStart w:id="25" w:name="_Toc462677339"/>
      <w:bookmarkStart w:id="26" w:name="_Toc462730667"/>
      <w:bookmarkStart w:id="27" w:name="_Toc462843270"/>
      <w:bookmarkStart w:id="28" w:name="_Toc462843282"/>
    </w:p>
    <w:p w14:paraId="118F107A" w14:textId="45E615E8" w:rsidR="00A02C19" w:rsidRDefault="0036397F" w:rsidP="00A02C19">
      <w:pPr>
        <w:pStyle w:val="Observation"/>
      </w:pPr>
      <w:bookmarkStart w:id="29" w:name="_Toc476836883"/>
      <w:bookmarkStart w:id="30" w:name="_Toc478044327"/>
      <w:r>
        <w:t xml:space="preserve">LTE SR/BSR framework can be reused in NR as a baseline, however </w:t>
      </w:r>
      <w:r w:rsidR="00456D36">
        <w:t xml:space="preserve">further improvement is </w:t>
      </w:r>
      <w:r>
        <w:t>necessary for NR</w:t>
      </w:r>
      <w:r w:rsidR="00A02C19">
        <w:t>.</w:t>
      </w:r>
      <w:bookmarkEnd w:id="29"/>
      <w:bookmarkEnd w:id="30"/>
      <w:r w:rsidR="00A02C19">
        <w:t xml:space="preserve"> </w:t>
      </w:r>
    </w:p>
    <w:p w14:paraId="77FEECCA" w14:textId="413DE66E" w:rsidR="00E05483" w:rsidRPr="00D868D5" w:rsidRDefault="00E05483" w:rsidP="008D0AE1">
      <w:bookmarkStart w:id="31" w:name="_Toc462843369"/>
      <w:bookmarkStart w:id="32" w:name="_Toc462843271"/>
      <w:bookmarkStart w:id="33" w:name="_Toc462843283"/>
      <w:bookmarkStart w:id="34" w:name="_Toc462843312"/>
      <w:bookmarkStart w:id="35" w:name="_Toc462843326"/>
      <w:bookmarkStart w:id="36" w:name="_Toc462843273"/>
      <w:bookmarkStart w:id="37" w:name="_Toc462843285"/>
      <w:bookmarkStart w:id="38" w:name="_Toc462843314"/>
      <w:bookmarkStart w:id="39" w:name="_Toc462843328"/>
      <w:bookmarkStart w:id="40" w:name="_Toc462843372"/>
      <w:bookmarkStart w:id="41" w:name="_Toc462843274"/>
      <w:bookmarkStart w:id="42" w:name="_Toc462843286"/>
      <w:bookmarkStart w:id="43" w:name="_Toc462843315"/>
      <w:bookmarkStart w:id="44" w:name="_Toc462843329"/>
      <w:bookmarkStart w:id="45" w:name="_Toc462843373"/>
      <w:bookmarkStart w:id="46" w:name="_Toc462843275"/>
      <w:bookmarkStart w:id="47" w:name="_Toc462843287"/>
      <w:bookmarkStart w:id="48" w:name="_Toc462843316"/>
      <w:bookmarkStart w:id="49" w:name="_Toc462843330"/>
      <w:bookmarkStart w:id="50" w:name="_Toc462843374"/>
      <w:bookmarkStart w:id="51" w:name="_Toc462843276"/>
      <w:bookmarkStart w:id="52" w:name="_Toc462843288"/>
      <w:bookmarkStart w:id="53" w:name="_Toc462843317"/>
      <w:bookmarkStart w:id="54" w:name="_Toc462843331"/>
      <w:bookmarkStart w:id="55" w:name="_Toc462843375"/>
      <w:bookmarkEnd w:id="25"/>
      <w:bookmarkEnd w:id="26"/>
      <w:bookmarkEnd w:id="27"/>
      <w:bookmarkEnd w:id="28"/>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9CEFD05" w14:textId="77777777" w:rsidR="00E05483" w:rsidRDefault="00E553FB" w:rsidP="00E05483">
      <w:pPr>
        <w:pStyle w:val="Heading2"/>
        <w:numPr>
          <w:ilvl w:val="1"/>
          <w:numId w:val="16"/>
        </w:numPr>
        <w:textAlignment w:val="auto"/>
      </w:pPr>
      <w:bookmarkStart w:id="56" w:name="_Toc457910612"/>
      <w:bookmarkStart w:id="57" w:name="_Toc458413505"/>
      <w:bookmarkStart w:id="58" w:name="_Toc458718272"/>
      <w:bookmarkStart w:id="59" w:name="_Toc458718317"/>
      <w:bookmarkEnd w:id="56"/>
      <w:bookmarkEnd w:id="57"/>
      <w:bookmarkEnd w:id="58"/>
      <w:bookmarkEnd w:id="59"/>
      <w:r>
        <w:t>Aspects for improvements in NR</w:t>
      </w:r>
    </w:p>
    <w:p w14:paraId="6CAE80F6" w14:textId="2F275A90" w:rsidR="00140DC8" w:rsidRPr="00AB5E74" w:rsidRDefault="00140DC8" w:rsidP="00140DC8">
      <w:r w:rsidRPr="00AB5E74">
        <w:t xml:space="preserve">The scheduling entity </w:t>
      </w:r>
      <w:r w:rsidR="00C526CF" w:rsidRPr="00AB5E74">
        <w:t>should</w:t>
      </w:r>
      <w:r w:rsidRPr="00AB5E74">
        <w:t xml:space="preserve"> be aware of the information including</w:t>
      </w:r>
    </w:p>
    <w:p w14:paraId="7D965CE4" w14:textId="77777777" w:rsidR="00140DC8" w:rsidRPr="00AB5E74" w:rsidRDefault="00140DC8" w:rsidP="00140DC8">
      <w:pPr>
        <w:pStyle w:val="ListParagraph"/>
        <w:numPr>
          <w:ilvl w:val="0"/>
          <w:numId w:val="29"/>
        </w:numPr>
      </w:pPr>
      <w:r w:rsidRPr="00AB5E74">
        <w:t>An indication that UE has data to transmit</w:t>
      </w:r>
    </w:p>
    <w:p w14:paraId="0C769D07" w14:textId="0C32AE75" w:rsidR="00140DC8" w:rsidRPr="00AB5E74" w:rsidRDefault="00140DC8" w:rsidP="00140DC8">
      <w:pPr>
        <w:pStyle w:val="ListParagraph"/>
        <w:numPr>
          <w:ilvl w:val="0"/>
          <w:numId w:val="29"/>
        </w:numPr>
      </w:pPr>
      <w:r w:rsidRPr="00AB5E74">
        <w:t xml:space="preserve">Buffer size for each logical channel </w:t>
      </w:r>
    </w:p>
    <w:p w14:paraId="3D72D54F" w14:textId="0F5B707C" w:rsidR="00140DC8" w:rsidRPr="00AB5E74" w:rsidRDefault="00140DC8" w:rsidP="00140DC8">
      <w:pPr>
        <w:pStyle w:val="ListParagraph"/>
        <w:numPr>
          <w:ilvl w:val="0"/>
          <w:numId w:val="29"/>
        </w:numPr>
      </w:pPr>
      <w:r w:rsidRPr="00AB5E74">
        <w:t>Priority indication for each logical channel</w:t>
      </w:r>
    </w:p>
    <w:p w14:paraId="796E0147" w14:textId="41F6FE71" w:rsidR="00140DC8" w:rsidRPr="00AB5E74" w:rsidRDefault="00140DC8" w:rsidP="00140DC8">
      <w:pPr>
        <w:pStyle w:val="ListParagraph"/>
        <w:numPr>
          <w:ilvl w:val="0"/>
          <w:numId w:val="29"/>
        </w:numPr>
      </w:pPr>
      <w:r w:rsidRPr="00AB5E74">
        <w:t xml:space="preserve">Indication of a set of the associated numerologies/TTI durations for each logical channel </w:t>
      </w:r>
    </w:p>
    <w:p w14:paraId="33B10E0F" w14:textId="0ABF05CD" w:rsidR="00CC2CD5" w:rsidRPr="00CC2CD5" w:rsidRDefault="00456D36" w:rsidP="008A0EB2">
      <w:pPr>
        <w:rPr>
          <w:lang w:val="en-US"/>
        </w:rPr>
      </w:pPr>
      <w:r>
        <w:t>To reduce the latency due to dynamic scheduling, and improve the resource utilization efficiency, the above information must be provided</w:t>
      </w:r>
      <w:r w:rsidR="009742F2" w:rsidRPr="009742F2">
        <w:t xml:space="preserve"> </w:t>
      </w:r>
      <w:r w:rsidR="009742F2">
        <w:t>on time and accurately</w:t>
      </w:r>
      <w:r>
        <w:t xml:space="preserve"> by UE </w:t>
      </w:r>
      <w:r w:rsidR="009742F2">
        <w:t>via SR and BSR</w:t>
      </w:r>
      <w:r>
        <w:t xml:space="preserve">. </w:t>
      </w:r>
    </w:p>
    <w:p w14:paraId="2A752AF2" w14:textId="7EBDDA0E" w:rsidR="00E05483" w:rsidRDefault="009855D7" w:rsidP="0049062D">
      <w:pPr>
        <w:pStyle w:val="Heading3"/>
        <w:rPr>
          <w:lang w:val="en-US"/>
        </w:rPr>
      </w:pPr>
      <w:r>
        <w:rPr>
          <w:lang w:val="en-US"/>
        </w:rPr>
        <w:t>SR</w:t>
      </w:r>
      <w:r w:rsidR="001D0D23">
        <w:rPr>
          <w:lang w:val="en-US"/>
        </w:rPr>
        <w:t xml:space="preserve"> aspects</w:t>
      </w:r>
    </w:p>
    <w:p w14:paraId="112234CA" w14:textId="2E3997D8" w:rsidR="00DE2813" w:rsidRPr="00DE2813" w:rsidRDefault="00DE2813" w:rsidP="00A46C19">
      <w:pPr>
        <w:pStyle w:val="Heading4"/>
        <w:rPr>
          <w:lang w:val="en-US"/>
        </w:rPr>
      </w:pPr>
      <w:r>
        <w:rPr>
          <w:lang w:val="en-US"/>
        </w:rPr>
        <w:t>Extensional bits for SR</w:t>
      </w:r>
    </w:p>
    <w:p w14:paraId="0D8A2431" w14:textId="5B111C3E" w:rsidR="00D85B16" w:rsidRDefault="00D85B16" w:rsidP="00D85B16">
      <w:r>
        <w:t>A possible improvement is to extend the SR to not only indicate whether data is available not. With more bits used in SR it would be possible</w:t>
      </w:r>
      <w:r w:rsidR="001D0D23">
        <w:t xml:space="preserve"> for a UE</w:t>
      </w:r>
      <w:r>
        <w:t xml:space="preserve"> to provide more detailed information such as the type</w:t>
      </w:r>
      <w:r w:rsidR="001D0D23">
        <w:t>/priority</w:t>
      </w:r>
      <w:r>
        <w:t xml:space="preserve"> of </w:t>
      </w:r>
      <w:r w:rsidR="001D0D23">
        <w:t xml:space="preserve">the logical channel </w:t>
      </w:r>
      <w:r>
        <w:t xml:space="preserve">which has data available. </w:t>
      </w:r>
    </w:p>
    <w:p w14:paraId="079B128B" w14:textId="3B8C1423" w:rsidR="00D85B16" w:rsidRDefault="00D85B16" w:rsidP="00D85B16">
      <w:r>
        <w:t>By knowing the type</w:t>
      </w:r>
      <w:r w:rsidR="001D0D23">
        <w:t>/priority</w:t>
      </w:r>
      <w:r>
        <w:t xml:space="preserve"> of </w:t>
      </w:r>
      <w:r w:rsidR="001D0D23">
        <w:t>the logical channel</w:t>
      </w:r>
      <w:r>
        <w:t xml:space="preserve">, </w:t>
      </w:r>
      <w:r w:rsidR="006D6D47">
        <w:t xml:space="preserve">the </w:t>
      </w:r>
      <w:r>
        <w:t xml:space="preserve">gNB can provide grants for the traffic that </w:t>
      </w:r>
      <w:r w:rsidR="001D0D23">
        <w:t>should</w:t>
      </w:r>
      <w:r>
        <w:t xml:space="preserve"> be scheduled. This enables a more correct priority handling.</w:t>
      </w:r>
      <w:r w:rsidR="001D0D23">
        <w:t xml:space="preserve"> This is beneficial for RRC signalling or URLLC data. </w:t>
      </w:r>
    </w:p>
    <w:p w14:paraId="37714370" w14:textId="44D6DB69" w:rsidR="001D0D23" w:rsidRPr="00086E2D" w:rsidRDefault="001D0D23" w:rsidP="001D0D23">
      <w:pPr>
        <w:pStyle w:val="Observation"/>
      </w:pPr>
      <w:bookmarkStart w:id="60" w:name="_Toc476836884"/>
      <w:bookmarkStart w:id="61" w:name="_Toc478044328"/>
      <w:r>
        <w:t>More efficient priority handling is achievable by extending additional bits for SR</w:t>
      </w:r>
      <w:bookmarkEnd w:id="60"/>
      <w:bookmarkEnd w:id="61"/>
    </w:p>
    <w:p w14:paraId="6A1CCC5C" w14:textId="3527863D" w:rsidR="004F059A" w:rsidRDefault="002111A5" w:rsidP="002B382E">
      <w:pPr>
        <w:rPr>
          <w:iCs/>
          <w:lang w:val="en-US"/>
        </w:rPr>
      </w:pPr>
      <w:r>
        <w:t xml:space="preserve">How </w:t>
      </w:r>
      <w:r w:rsidR="00BF7030">
        <w:t xml:space="preserve">many </w:t>
      </w:r>
      <w:r>
        <w:t>bits that</w:t>
      </w:r>
      <w:r w:rsidR="00BF7030">
        <w:t xml:space="preserve"> SR should be extended with</w:t>
      </w:r>
      <w:r>
        <w:t xml:space="preserve">, is </w:t>
      </w:r>
      <w:r w:rsidR="0057163C">
        <w:t>a</w:t>
      </w:r>
      <w:r>
        <w:t xml:space="preserve"> question </w:t>
      </w:r>
      <w:r w:rsidR="00BF7030">
        <w:t xml:space="preserve">of </w:t>
      </w:r>
      <w:r>
        <w:t>how to achieve a good trade</w:t>
      </w:r>
      <w:r w:rsidR="00C31603">
        <w:t>-</w:t>
      </w:r>
      <w:r>
        <w:t xml:space="preserve">off between the increased L1 control channel issues (overhead, design complexity etc) and the possible achieved gain in terms of UP latency reduction. </w:t>
      </w:r>
      <w:r w:rsidR="002D2BB1">
        <w:t xml:space="preserve"> T</w:t>
      </w:r>
      <w:r w:rsidR="002D2BB1" w:rsidRPr="00A46C19">
        <w:rPr>
          <w:iCs/>
          <w:lang w:val="en-US"/>
        </w:rPr>
        <w:t xml:space="preserve">he SR without </w:t>
      </w:r>
      <w:r w:rsidR="002D2BB1">
        <w:rPr>
          <w:iCs/>
          <w:lang w:val="en-US"/>
        </w:rPr>
        <w:t>HARQ acknowledgement</w:t>
      </w:r>
      <w:r w:rsidR="002D2BB1" w:rsidRPr="00A46C19">
        <w:rPr>
          <w:iCs/>
          <w:lang w:val="en-US"/>
        </w:rPr>
        <w:t xml:space="preserve"> could probably be </w:t>
      </w:r>
      <w:r w:rsidR="002D2BB1">
        <w:rPr>
          <w:iCs/>
          <w:lang w:val="en-US"/>
        </w:rPr>
        <w:t xml:space="preserve">relatively </w:t>
      </w:r>
      <w:r w:rsidR="00E628B9">
        <w:rPr>
          <w:iCs/>
          <w:lang w:val="en-US"/>
        </w:rPr>
        <w:t>easier</w:t>
      </w:r>
      <w:r w:rsidR="002D2BB1">
        <w:rPr>
          <w:iCs/>
          <w:lang w:val="en-US"/>
        </w:rPr>
        <w:t xml:space="preserve"> </w:t>
      </w:r>
      <w:r w:rsidR="002D2BB1" w:rsidRPr="00A46C19">
        <w:rPr>
          <w:iCs/>
          <w:lang w:val="en-US"/>
        </w:rPr>
        <w:t xml:space="preserve">generalized to </w:t>
      </w:r>
      <w:r w:rsidR="002D2BB1">
        <w:rPr>
          <w:iCs/>
          <w:lang w:val="en-US"/>
        </w:rPr>
        <w:t xml:space="preserve">support </w:t>
      </w:r>
      <w:r w:rsidR="002D2BB1" w:rsidRPr="00A46C19">
        <w:rPr>
          <w:iCs/>
          <w:lang w:val="en-US"/>
        </w:rPr>
        <w:t>2 bits</w:t>
      </w:r>
      <w:r w:rsidR="002D2BB1">
        <w:rPr>
          <w:iCs/>
          <w:lang w:val="en-US"/>
        </w:rPr>
        <w:t xml:space="preserve"> with the modulation and coding scheme QPSK</w:t>
      </w:r>
      <w:r w:rsidR="002D2BB1" w:rsidRPr="00A46C19">
        <w:rPr>
          <w:iCs/>
          <w:lang w:val="en-US"/>
        </w:rPr>
        <w:t xml:space="preserve">. </w:t>
      </w:r>
      <w:r w:rsidR="002D2BB1">
        <w:rPr>
          <w:iCs/>
          <w:lang w:val="en-US"/>
        </w:rPr>
        <w:t xml:space="preserve">The extension of more than 2 bits </w:t>
      </w:r>
      <w:r w:rsidR="002D2BB1" w:rsidRPr="00A46C19">
        <w:rPr>
          <w:iCs/>
          <w:lang w:val="en-US"/>
        </w:rPr>
        <w:t>would require more changes</w:t>
      </w:r>
      <w:r w:rsidR="00E628B9">
        <w:rPr>
          <w:iCs/>
          <w:lang w:val="en-US"/>
        </w:rPr>
        <w:t xml:space="preserve"> than that in LTE</w:t>
      </w:r>
      <w:r w:rsidR="002D2BB1" w:rsidRPr="00A46C19">
        <w:rPr>
          <w:iCs/>
          <w:lang w:val="en-US"/>
        </w:rPr>
        <w:t>.</w:t>
      </w:r>
      <w:r w:rsidR="006911C1">
        <w:rPr>
          <w:iCs/>
          <w:lang w:val="en-US"/>
        </w:rPr>
        <w:t xml:space="preserve"> </w:t>
      </w:r>
      <w:r w:rsidR="00E628B9">
        <w:rPr>
          <w:iCs/>
          <w:lang w:val="en-US"/>
        </w:rPr>
        <w:t xml:space="preserve">However, the final decision should be made by RAN1. It is suggested to send LS to RAN1 to </w:t>
      </w:r>
      <w:r w:rsidR="00E85639">
        <w:rPr>
          <w:iCs/>
          <w:lang w:val="en-US"/>
        </w:rPr>
        <w:t xml:space="preserve">check </w:t>
      </w:r>
      <w:r w:rsidR="006D6D47">
        <w:rPr>
          <w:iCs/>
          <w:lang w:val="en-US"/>
        </w:rPr>
        <w:t>the feasibility that SR is extend to support 2 bits</w:t>
      </w:r>
      <w:r w:rsidR="006911C1">
        <w:rPr>
          <w:iCs/>
          <w:lang w:val="en-US"/>
        </w:rPr>
        <w:t>.</w:t>
      </w:r>
    </w:p>
    <w:p w14:paraId="0E8F718A" w14:textId="1C818C83" w:rsidR="008453FE" w:rsidRPr="00A46C19" w:rsidRDefault="00365C8E" w:rsidP="002D2BB1">
      <w:pPr>
        <w:pStyle w:val="Proposal"/>
      </w:pPr>
      <w:bookmarkStart w:id="62" w:name="_Toc476836885"/>
      <w:bookmarkStart w:id="63" w:name="_Toc477729378"/>
      <w:bookmarkStart w:id="64" w:name="_Toc477770407"/>
      <w:bookmarkStart w:id="65" w:name="_Toc477812592"/>
      <w:bookmarkStart w:id="66" w:name="_Toc477982838"/>
      <w:bookmarkStart w:id="67" w:name="_Toc478044330"/>
      <w:bookmarkStart w:id="68" w:name="_Toc478045109"/>
      <w:bookmarkStart w:id="69" w:name="_Toc478046663"/>
      <w:r>
        <w:rPr>
          <w:lang w:val="en-US"/>
        </w:rPr>
        <w:t>E</w:t>
      </w:r>
      <w:r w:rsidR="008453FE">
        <w:rPr>
          <w:lang w:val="en-US"/>
        </w:rPr>
        <w:t>xtend SR to support 2 bits</w:t>
      </w:r>
      <w:bookmarkEnd w:id="62"/>
      <w:bookmarkEnd w:id="63"/>
      <w:bookmarkEnd w:id="64"/>
      <w:bookmarkEnd w:id="65"/>
      <w:bookmarkEnd w:id="66"/>
      <w:bookmarkEnd w:id="67"/>
      <w:r w:rsidR="00014C57">
        <w:rPr>
          <w:lang w:val="en-US"/>
        </w:rPr>
        <w:t xml:space="preserve"> pending on RAN1’s confirmation</w:t>
      </w:r>
      <w:bookmarkEnd w:id="68"/>
      <w:bookmarkEnd w:id="69"/>
    </w:p>
    <w:p w14:paraId="7EF24AFE" w14:textId="65F433AA" w:rsidR="006911C1" w:rsidRDefault="006911C1" w:rsidP="002D2BB1">
      <w:pPr>
        <w:pStyle w:val="Proposal"/>
      </w:pPr>
      <w:bookmarkStart w:id="70" w:name="_Toc476836886"/>
      <w:bookmarkStart w:id="71" w:name="_Toc477729379"/>
      <w:bookmarkStart w:id="72" w:name="_Toc477770408"/>
      <w:bookmarkStart w:id="73" w:name="_Toc477812593"/>
      <w:bookmarkStart w:id="74" w:name="_Toc477982839"/>
      <w:bookmarkStart w:id="75" w:name="_Toc478044331"/>
      <w:bookmarkStart w:id="76" w:name="_Toc478045110"/>
      <w:bookmarkStart w:id="77" w:name="_Toc478046664"/>
      <w:r>
        <w:lastRenderedPageBreak/>
        <w:t xml:space="preserve">Send LS to RAN1 to check </w:t>
      </w:r>
      <w:r w:rsidR="002E5701">
        <w:t xml:space="preserve">the feasibility that </w:t>
      </w:r>
      <w:r w:rsidR="00BF31F3">
        <w:t xml:space="preserve">SR can be extended </w:t>
      </w:r>
      <w:bookmarkEnd w:id="70"/>
      <w:bookmarkEnd w:id="71"/>
      <w:bookmarkEnd w:id="72"/>
      <w:bookmarkEnd w:id="73"/>
      <w:r w:rsidR="002E5701">
        <w:t>to 2 bits</w:t>
      </w:r>
      <w:bookmarkEnd w:id="74"/>
      <w:bookmarkEnd w:id="75"/>
      <w:bookmarkEnd w:id="76"/>
      <w:bookmarkEnd w:id="77"/>
    </w:p>
    <w:p w14:paraId="62C671C2" w14:textId="0A030776" w:rsidR="002D2BB1" w:rsidRDefault="00BF31F3" w:rsidP="00A46C19">
      <w:pPr>
        <w:rPr>
          <w:lang w:val="en-US"/>
        </w:rPr>
      </w:pPr>
      <w:r>
        <w:rPr>
          <w:lang w:val="en-US"/>
        </w:rPr>
        <w:t>It is natural for SR to convey t</w:t>
      </w:r>
      <w:r w:rsidR="006911C1">
        <w:rPr>
          <w:lang w:val="en-US"/>
        </w:rPr>
        <w:t xml:space="preserve">he priority information </w:t>
      </w:r>
      <w:r>
        <w:rPr>
          <w:lang w:val="en-US"/>
        </w:rPr>
        <w:t xml:space="preserve">with more bits. Assuming SR can be extended to 2 bits, </w:t>
      </w:r>
      <w:r w:rsidR="008C7303">
        <w:rPr>
          <w:lang w:val="en-US"/>
        </w:rPr>
        <w:t>an</w:t>
      </w:r>
      <w:r>
        <w:rPr>
          <w:lang w:val="en-US"/>
        </w:rPr>
        <w:t xml:space="preserve"> example of the SR signaling content is shown in the below table.</w:t>
      </w:r>
    </w:p>
    <w:p w14:paraId="577B04C9" w14:textId="77777777" w:rsidR="00BF31F3" w:rsidRDefault="00BF31F3" w:rsidP="00BF31F3">
      <w:pPr>
        <w:rPr>
          <w:rFonts w:ascii="Calibri" w:hAnsi="Calibri"/>
          <w:lang w:val="en-US"/>
        </w:rPr>
      </w:pPr>
    </w:p>
    <w:tbl>
      <w:tblPr>
        <w:tblW w:w="3101" w:type="dxa"/>
        <w:tblCellMar>
          <w:left w:w="0" w:type="dxa"/>
          <w:right w:w="0" w:type="dxa"/>
        </w:tblCellMar>
        <w:tblLook w:val="04A0" w:firstRow="1" w:lastRow="0" w:firstColumn="1" w:lastColumn="0" w:noHBand="0" w:noVBand="1"/>
      </w:tblPr>
      <w:tblGrid>
        <w:gridCol w:w="1683"/>
        <w:gridCol w:w="709"/>
        <w:gridCol w:w="709"/>
      </w:tblGrid>
      <w:tr w:rsidR="00BF31F3" w14:paraId="50BC8345" w14:textId="77777777" w:rsidTr="00BF31F3">
        <w:trPr>
          <w:trHeight w:val="258"/>
        </w:trPr>
        <w:tc>
          <w:tcPr>
            <w:tcW w:w="1683" w:type="dxa"/>
            <w:tcBorders>
              <w:top w:val="single" w:sz="18" w:space="0" w:color="58585A"/>
              <w:left w:val="single" w:sz="18" w:space="0" w:color="58585A"/>
              <w:bottom w:val="single" w:sz="8" w:space="0" w:color="58585A"/>
              <w:right w:val="single" w:sz="8" w:space="0" w:color="58585A"/>
            </w:tcBorders>
            <w:tcMar>
              <w:top w:w="72" w:type="dxa"/>
              <w:left w:w="15" w:type="dxa"/>
              <w:bottom w:w="72" w:type="dxa"/>
              <w:right w:w="15" w:type="dxa"/>
            </w:tcMar>
            <w:hideMark/>
          </w:tcPr>
          <w:p w14:paraId="2573873C" w14:textId="77777777" w:rsidR="00BF31F3" w:rsidRDefault="00BF31F3">
            <w:pPr>
              <w:rPr>
                <w:lang w:val="sv-SE"/>
              </w:rPr>
            </w:pPr>
            <w:r>
              <w:rPr>
                <w:b/>
                <w:bCs/>
              </w:rPr>
              <w:t>Priority level</w:t>
            </w:r>
          </w:p>
        </w:tc>
        <w:tc>
          <w:tcPr>
            <w:tcW w:w="709" w:type="dxa"/>
            <w:tcBorders>
              <w:top w:val="single" w:sz="18" w:space="0" w:color="58585A"/>
              <w:left w:val="nil"/>
              <w:bottom w:val="single" w:sz="8" w:space="0" w:color="58585A"/>
              <w:right w:val="single" w:sz="8" w:space="0" w:color="58585A"/>
            </w:tcBorders>
            <w:tcMar>
              <w:top w:w="72" w:type="dxa"/>
              <w:left w:w="15" w:type="dxa"/>
              <w:bottom w:w="72" w:type="dxa"/>
              <w:right w:w="15" w:type="dxa"/>
            </w:tcMar>
            <w:hideMark/>
          </w:tcPr>
          <w:p w14:paraId="5C17D812" w14:textId="77777777" w:rsidR="00BF31F3" w:rsidRDefault="00BF31F3">
            <w:r>
              <w:t>bit 1</w:t>
            </w:r>
          </w:p>
        </w:tc>
        <w:tc>
          <w:tcPr>
            <w:tcW w:w="709" w:type="dxa"/>
            <w:tcBorders>
              <w:top w:val="single" w:sz="18" w:space="0" w:color="58585A"/>
              <w:left w:val="nil"/>
              <w:bottom w:val="single" w:sz="8" w:space="0" w:color="58585A"/>
              <w:right w:val="single" w:sz="18" w:space="0" w:color="58585A"/>
            </w:tcBorders>
            <w:tcMar>
              <w:top w:w="72" w:type="dxa"/>
              <w:left w:w="15" w:type="dxa"/>
              <w:bottom w:w="72" w:type="dxa"/>
              <w:right w:w="15" w:type="dxa"/>
            </w:tcMar>
            <w:hideMark/>
          </w:tcPr>
          <w:p w14:paraId="19C90B20" w14:textId="77777777" w:rsidR="00BF31F3" w:rsidRDefault="00BF31F3">
            <w:r>
              <w:t>bit 2</w:t>
            </w:r>
          </w:p>
        </w:tc>
      </w:tr>
      <w:tr w:rsidR="00BF31F3" w14:paraId="6A938420" w14:textId="77777777" w:rsidTr="00BF31F3">
        <w:trPr>
          <w:trHeight w:val="251"/>
        </w:trPr>
        <w:tc>
          <w:tcPr>
            <w:tcW w:w="1683" w:type="dxa"/>
            <w:tcBorders>
              <w:top w:val="nil"/>
              <w:left w:val="single" w:sz="18" w:space="0" w:color="58585A"/>
              <w:bottom w:val="single" w:sz="8" w:space="0" w:color="58585A"/>
              <w:right w:val="single" w:sz="8" w:space="0" w:color="58585A"/>
            </w:tcBorders>
            <w:tcMar>
              <w:top w:w="72" w:type="dxa"/>
              <w:left w:w="15" w:type="dxa"/>
              <w:bottom w:w="72" w:type="dxa"/>
              <w:right w:w="15" w:type="dxa"/>
            </w:tcMar>
            <w:hideMark/>
          </w:tcPr>
          <w:p w14:paraId="6B04D431" w14:textId="4BA97367" w:rsidR="00BF31F3" w:rsidRDefault="00BF31F3">
            <w:r>
              <w:t>Priority level 1</w:t>
            </w:r>
          </w:p>
        </w:tc>
        <w:tc>
          <w:tcPr>
            <w:tcW w:w="709" w:type="dxa"/>
            <w:tcBorders>
              <w:top w:val="nil"/>
              <w:left w:val="nil"/>
              <w:bottom w:val="single" w:sz="8" w:space="0" w:color="58585A"/>
              <w:right w:val="single" w:sz="8" w:space="0" w:color="58585A"/>
            </w:tcBorders>
            <w:tcMar>
              <w:top w:w="72" w:type="dxa"/>
              <w:left w:w="15" w:type="dxa"/>
              <w:bottom w:w="72" w:type="dxa"/>
              <w:right w:w="15" w:type="dxa"/>
            </w:tcMar>
            <w:hideMark/>
          </w:tcPr>
          <w:p w14:paraId="334D4BBF" w14:textId="77777777" w:rsidR="00BF31F3" w:rsidRDefault="00BF31F3">
            <w:r>
              <w:t>1</w:t>
            </w:r>
          </w:p>
        </w:tc>
        <w:tc>
          <w:tcPr>
            <w:tcW w:w="709" w:type="dxa"/>
            <w:tcBorders>
              <w:top w:val="nil"/>
              <w:left w:val="nil"/>
              <w:bottom w:val="single" w:sz="8" w:space="0" w:color="58585A"/>
              <w:right w:val="single" w:sz="18" w:space="0" w:color="58585A"/>
            </w:tcBorders>
            <w:tcMar>
              <w:top w:w="72" w:type="dxa"/>
              <w:left w:w="15" w:type="dxa"/>
              <w:bottom w:w="72" w:type="dxa"/>
              <w:right w:w="15" w:type="dxa"/>
            </w:tcMar>
            <w:hideMark/>
          </w:tcPr>
          <w:p w14:paraId="375FA040" w14:textId="77777777" w:rsidR="00BF31F3" w:rsidRDefault="00BF31F3">
            <w:r>
              <w:t>1</w:t>
            </w:r>
          </w:p>
        </w:tc>
      </w:tr>
      <w:tr w:rsidR="00BF31F3" w14:paraId="5DDC78A3" w14:textId="77777777" w:rsidTr="00BF31F3">
        <w:trPr>
          <w:trHeight w:val="243"/>
        </w:trPr>
        <w:tc>
          <w:tcPr>
            <w:tcW w:w="1683" w:type="dxa"/>
            <w:tcBorders>
              <w:top w:val="nil"/>
              <w:left w:val="single" w:sz="18" w:space="0" w:color="58585A"/>
              <w:bottom w:val="single" w:sz="8" w:space="0" w:color="58585A"/>
              <w:right w:val="single" w:sz="8" w:space="0" w:color="58585A"/>
            </w:tcBorders>
            <w:tcMar>
              <w:top w:w="72" w:type="dxa"/>
              <w:left w:w="15" w:type="dxa"/>
              <w:bottom w:w="72" w:type="dxa"/>
              <w:right w:w="15" w:type="dxa"/>
            </w:tcMar>
            <w:hideMark/>
          </w:tcPr>
          <w:p w14:paraId="3840A767" w14:textId="24B1E8AD" w:rsidR="00BF31F3" w:rsidRDefault="00BF31F3">
            <w:r>
              <w:t xml:space="preserve">Priority level 2 </w:t>
            </w:r>
          </w:p>
        </w:tc>
        <w:tc>
          <w:tcPr>
            <w:tcW w:w="709" w:type="dxa"/>
            <w:tcBorders>
              <w:top w:val="nil"/>
              <w:left w:val="nil"/>
              <w:bottom w:val="single" w:sz="8" w:space="0" w:color="58585A"/>
              <w:right w:val="single" w:sz="8" w:space="0" w:color="58585A"/>
            </w:tcBorders>
            <w:tcMar>
              <w:top w:w="72" w:type="dxa"/>
              <w:left w:w="15" w:type="dxa"/>
              <w:bottom w:w="72" w:type="dxa"/>
              <w:right w:w="15" w:type="dxa"/>
            </w:tcMar>
            <w:hideMark/>
          </w:tcPr>
          <w:p w14:paraId="2362E3DA" w14:textId="77777777" w:rsidR="00BF31F3" w:rsidRDefault="00BF31F3">
            <w:r>
              <w:t>1</w:t>
            </w:r>
          </w:p>
        </w:tc>
        <w:tc>
          <w:tcPr>
            <w:tcW w:w="709" w:type="dxa"/>
            <w:tcBorders>
              <w:top w:val="nil"/>
              <w:left w:val="nil"/>
              <w:bottom w:val="single" w:sz="8" w:space="0" w:color="58585A"/>
              <w:right w:val="single" w:sz="18" w:space="0" w:color="58585A"/>
            </w:tcBorders>
            <w:tcMar>
              <w:top w:w="72" w:type="dxa"/>
              <w:left w:w="15" w:type="dxa"/>
              <w:bottom w:w="72" w:type="dxa"/>
              <w:right w:w="15" w:type="dxa"/>
            </w:tcMar>
            <w:hideMark/>
          </w:tcPr>
          <w:p w14:paraId="23CBD5F9" w14:textId="77777777" w:rsidR="00BF31F3" w:rsidRDefault="00BF31F3">
            <w:r>
              <w:t>0</w:t>
            </w:r>
          </w:p>
        </w:tc>
      </w:tr>
      <w:tr w:rsidR="00BF31F3" w14:paraId="3A7C20DE" w14:textId="77777777" w:rsidTr="00A46C19">
        <w:trPr>
          <w:trHeight w:val="94"/>
        </w:trPr>
        <w:tc>
          <w:tcPr>
            <w:tcW w:w="1683" w:type="dxa"/>
            <w:tcBorders>
              <w:top w:val="nil"/>
              <w:left w:val="single" w:sz="18" w:space="0" w:color="58585A"/>
              <w:bottom w:val="single" w:sz="4" w:space="0" w:color="auto"/>
              <w:right w:val="single" w:sz="8" w:space="0" w:color="58585A"/>
            </w:tcBorders>
            <w:tcMar>
              <w:top w:w="72" w:type="dxa"/>
              <w:left w:w="15" w:type="dxa"/>
              <w:bottom w:w="72" w:type="dxa"/>
              <w:right w:w="15" w:type="dxa"/>
            </w:tcMar>
            <w:hideMark/>
          </w:tcPr>
          <w:p w14:paraId="6E0CF47B" w14:textId="7EEEACA2" w:rsidR="00BF31F3" w:rsidRDefault="00BF31F3">
            <w:r>
              <w:t>Priority level 3</w:t>
            </w:r>
          </w:p>
        </w:tc>
        <w:tc>
          <w:tcPr>
            <w:tcW w:w="709" w:type="dxa"/>
            <w:tcBorders>
              <w:top w:val="nil"/>
              <w:left w:val="nil"/>
              <w:bottom w:val="single" w:sz="4" w:space="0" w:color="auto"/>
              <w:right w:val="single" w:sz="8" w:space="0" w:color="58585A"/>
            </w:tcBorders>
            <w:tcMar>
              <w:top w:w="72" w:type="dxa"/>
              <w:left w:w="15" w:type="dxa"/>
              <w:bottom w:w="72" w:type="dxa"/>
              <w:right w:w="15" w:type="dxa"/>
            </w:tcMar>
            <w:hideMark/>
          </w:tcPr>
          <w:p w14:paraId="020C08C6" w14:textId="77777777" w:rsidR="00BF31F3" w:rsidRDefault="00BF31F3">
            <w:r>
              <w:t>0</w:t>
            </w:r>
          </w:p>
        </w:tc>
        <w:tc>
          <w:tcPr>
            <w:tcW w:w="709" w:type="dxa"/>
            <w:tcBorders>
              <w:top w:val="nil"/>
              <w:left w:val="nil"/>
              <w:bottom w:val="single" w:sz="4" w:space="0" w:color="auto"/>
              <w:right w:val="single" w:sz="18" w:space="0" w:color="58585A"/>
            </w:tcBorders>
            <w:tcMar>
              <w:top w:w="72" w:type="dxa"/>
              <w:left w:w="15" w:type="dxa"/>
              <w:bottom w:w="72" w:type="dxa"/>
              <w:right w:w="15" w:type="dxa"/>
            </w:tcMar>
            <w:hideMark/>
          </w:tcPr>
          <w:p w14:paraId="22B95199" w14:textId="77777777" w:rsidR="00BF31F3" w:rsidRDefault="00BF31F3">
            <w:r>
              <w:t>1</w:t>
            </w:r>
          </w:p>
        </w:tc>
      </w:tr>
      <w:tr w:rsidR="00BF31F3" w14:paraId="0E5F1A8F" w14:textId="77777777" w:rsidTr="003A110A">
        <w:trPr>
          <w:trHeight w:val="94"/>
        </w:trPr>
        <w:tc>
          <w:tcPr>
            <w:tcW w:w="1683" w:type="dxa"/>
            <w:tcBorders>
              <w:top w:val="single" w:sz="4" w:space="0" w:color="auto"/>
              <w:left w:val="single" w:sz="18" w:space="0" w:color="58585A"/>
              <w:bottom w:val="single" w:sz="18" w:space="0" w:color="58585A"/>
              <w:right w:val="single" w:sz="8" w:space="0" w:color="58585A"/>
            </w:tcBorders>
            <w:tcMar>
              <w:top w:w="72" w:type="dxa"/>
              <w:left w:w="15" w:type="dxa"/>
              <w:bottom w:w="72" w:type="dxa"/>
              <w:right w:w="15" w:type="dxa"/>
            </w:tcMar>
          </w:tcPr>
          <w:p w14:paraId="3970394D" w14:textId="17A281FE" w:rsidR="00BF31F3" w:rsidRDefault="00BF31F3">
            <w:r>
              <w:t>Priority level 4</w:t>
            </w:r>
          </w:p>
        </w:tc>
        <w:tc>
          <w:tcPr>
            <w:tcW w:w="709" w:type="dxa"/>
            <w:tcBorders>
              <w:top w:val="single" w:sz="4" w:space="0" w:color="auto"/>
              <w:left w:val="nil"/>
              <w:bottom w:val="single" w:sz="18" w:space="0" w:color="58585A"/>
              <w:right w:val="single" w:sz="8" w:space="0" w:color="58585A"/>
            </w:tcBorders>
            <w:tcMar>
              <w:top w:w="72" w:type="dxa"/>
              <w:left w:w="15" w:type="dxa"/>
              <w:bottom w:w="72" w:type="dxa"/>
              <w:right w:w="15" w:type="dxa"/>
            </w:tcMar>
          </w:tcPr>
          <w:p w14:paraId="21530C3A" w14:textId="50DF1C76" w:rsidR="00BF31F3" w:rsidRDefault="00BF31F3">
            <w:r>
              <w:t>0</w:t>
            </w:r>
          </w:p>
        </w:tc>
        <w:tc>
          <w:tcPr>
            <w:tcW w:w="709" w:type="dxa"/>
            <w:tcBorders>
              <w:top w:val="single" w:sz="4" w:space="0" w:color="auto"/>
              <w:left w:val="nil"/>
              <w:bottom w:val="single" w:sz="18" w:space="0" w:color="58585A"/>
              <w:right w:val="single" w:sz="18" w:space="0" w:color="58585A"/>
            </w:tcBorders>
            <w:tcMar>
              <w:top w:w="72" w:type="dxa"/>
              <w:left w:w="15" w:type="dxa"/>
              <w:bottom w:w="72" w:type="dxa"/>
              <w:right w:w="15" w:type="dxa"/>
            </w:tcMar>
          </w:tcPr>
          <w:p w14:paraId="0A08CAF7" w14:textId="02ACE787" w:rsidR="00BF31F3" w:rsidRDefault="00BF31F3">
            <w:r>
              <w:t>0</w:t>
            </w:r>
          </w:p>
        </w:tc>
      </w:tr>
    </w:tbl>
    <w:p w14:paraId="6F083E96" w14:textId="77777777" w:rsidR="00BA781C" w:rsidRDefault="00BA781C" w:rsidP="00A46C19"/>
    <w:p w14:paraId="11C3B87B" w14:textId="0091C321" w:rsidR="00BF31F3" w:rsidRDefault="002103D0" w:rsidP="00A46C19">
      <w:r>
        <w:t>The network configures t</w:t>
      </w:r>
      <w:r w:rsidR="00BF31F3">
        <w:t xml:space="preserve">he mapping between priority levels and </w:t>
      </w:r>
      <w:r>
        <w:t xml:space="preserve">logical channels. It can be cell-specific or UE-specific. </w:t>
      </w:r>
      <w:r w:rsidR="00BA781C">
        <w:t>UE may be configured with more than 4 LCHs at the same time. In this case, there may be more than 1 LCHs mapped to the same priority level.</w:t>
      </w:r>
    </w:p>
    <w:p w14:paraId="72F76F6C" w14:textId="36C912FC" w:rsidR="00DF7BF9" w:rsidRDefault="00DF7BF9" w:rsidP="00A46C19">
      <w:pPr>
        <w:pStyle w:val="Observation"/>
      </w:pPr>
      <w:bookmarkStart w:id="78" w:name="_Toc478044329"/>
      <w:r>
        <w:t>More than 1 logical channels may be mapped to the same priority level</w:t>
      </w:r>
      <w:bookmarkEnd w:id="78"/>
    </w:p>
    <w:p w14:paraId="10E2F297" w14:textId="27455C23" w:rsidR="00BA781C" w:rsidRPr="00397657" w:rsidRDefault="00BA781C" w:rsidP="00BA781C">
      <w:pPr>
        <w:pStyle w:val="Proposal"/>
      </w:pPr>
      <w:bookmarkStart w:id="79" w:name="_Toc477770409"/>
      <w:bookmarkStart w:id="80" w:name="_Toc477812594"/>
      <w:bookmarkStart w:id="81" w:name="_Toc477982840"/>
      <w:bookmarkStart w:id="82" w:name="_Toc478044332"/>
      <w:bookmarkStart w:id="83" w:name="_Toc478045111"/>
      <w:bookmarkStart w:id="84" w:name="_Toc478046665"/>
      <w:r>
        <w:rPr>
          <w:lang w:val="en-US"/>
        </w:rPr>
        <w:t xml:space="preserve">Support extended SR to </w:t>
      </w:r>
      <w:r w:rsidR="001C6335">
        <w:rPr>
          <w:lang w:val="en-US"/>
        </w:rPr>
        <w:t xml:space="preserve">not only indicate </w:t>
      </w:r>
      <w:r w:rsidR="00212BE8">
        <w:rPr>
          <w:lang w:val="en-US"/>
        </w:rPr>
        <w:t xml:space="preserve">that a UE has data to transmit, but also </w:t>
      </w:r>
      <w:r>
        <w:rPr>
          <w:lang w:val="en-US"/>
        </w:rPr>
        <w:t>indicate the priority information</w:t>
      </w:r>
      <w:bookmarkEnd w:id="79"/>
      <w:r w:rsidR="00212BE8">
        <w:rPr>
          <w:lang w:val="en-US"/>
        </w:rPr>
        <w:t xml:space="preserve"> of associated logical channels</w:t>
      </w:r>
      <w:bookmarkEnd w:id="80"/>
      <w:bookmarkEnd w:id="81"/>
      <w:bookmarkEnd w:id="82"/>
      <w:bookmarkEnd w:id="83"/>
      <w:bookmarkEnd w:id="84"/>
    </w:p>
    <w:p w14:paraId="20D36F7E" w14:textId="5D4DB4BB" w:rsidR="00397657" w:rsidRPr="00397657" w:rsidRDefault="00397657" w:rsidP="00397657">
      <w:r w:rsidRPr="00397657">
        <w:t xml:space="preserve">On the other hand, if there is a need to simultaneously send HARQ acknowledgement and SR </w:t>
      </w:r>
      <w:r w:rsidR="003C1FB3">
        <w:t>information</w:t>
      </w:r>
      <w:r w:rsidRPr="00397657">
        <w:t xml:space="preserve">, </w:t>
      </w:r>
      <w:r w:rsidR="00D349C5">
        <w:t xml:space="preserve">or in situations where additional information is not needed, </w:t>
      </w:r>
      <w:r w:rsidRPr="00397657">
        <w:t xml:space="preserve">then </w:t>
      </w:r>
      <w:r w:rsidR="00D349C5">
        <w:t xml:space="preserve">an </w:t>
      </w:r>
      <w:r w:rsidRPr="00397657">
        <w:t xml:space="preserve">SR with more bits (e.g., 2 bits) </w:t>
      </w:r>
      <w:r w:rsidR="00D349C5">
        <w:t>may</w:t>
      </w:r>
      <w:r w:rsidR="00D349C5" w:rsidRPr="00397657">
        <w:t xml:space="preserve"> </w:t>
      </w:r>
      <w:r w:rsidR="00D349C5">
        <w:t xml:space="preserve">not always be useful. In these </w:t>
      </w:r>
      <w:bookmarkStart w:id="85" w:name="_GoBack"/>
      <w:bookmarkEnd w:id="85"/>
      <w:r w:rsidR="00406A28">
        <w:t>cases,</w:t>
      </w:r>
      <w:r w:rsidR="00D349C5">
        <w:t xml:space="preserve"> a </w:t>
      </w:r>
      <w:r w:rsidRPr="00397657">
        <w:t>1-bit SR</w:t>
      </w:r>
      <w:r w:rsidR="00D349C5">
        <w:t xml:space="preserve"> is preferred</w:t>
      </w:r>
      <w:r w:rsidRPr="00397657">
        <w:t xml:space="preserve">. This means that UEs may </w:t>
      </w:r>
      <w:r w:rsidR="00D349C5">
        <w:t xml:space="preserve">need to </w:t>
      </w:r>
      <w:r w:rsidRPr="00397657">
        <w:t>support 1-bit SR</w:t>
      </w:r>
      <w:r w:rsidR="00D349C5">
        <w:t xml:space="preserve"> in addition</w:t>
      </w:r>
      <w:r w:rsidRPr="00397657">
        <w:t>. If a NR cell support both 1-bit SR and 2-bits SR, the gNB shall be able to configure a UE to use either 1-bit SR or 2-bits SR.</w:t>
      </w:r>
    </w:p>
    <w:p w14:paraId="12047284" w14:textId="77777777" w:rsidR="00397657" w:rsidRPr="00EA6AB6" w:rsidRDefault="00397657" w:rsidP="00397657">
      <w:pPr>
        <w:pStyle w:val="Proposal"/>
      </w:pPr>
      <w:bookmarkStart w:id="86" w:name="_Toc477971216"/>
      <w:bookmarkStart w:id="87" w:name="_Toc477971230"/>
      <w:bookmarkStart w:id="88" w:name="_Toc477971639"/>
      <w:bookmarkStart w:id="89" w:name="_Toc477984914"/>
      <w:bookmarkStart w:id="90" w:name="_Toc477984967"/>
      <w:bookmarkStart w:id="91" w:name="_Toc477985628"/>
      <w:bookmarkStart w:id="92" w:name="_Toc478046666"/>
      <w:r>
        <w:rPr>
          <w:lang w:val="en-US"/>
        </w:rPr>
        <w:t>The network can configure a UE to use either 1-bit SR or 2-bits SR</w:t>
      </w:r>
      <w:bookmarkEnd w:id="86"/>
      <w:bookmarkEnd w:id="87"/>
      <w:bookmarkEnd w:id="88"/>
      <w:bookmarkEnd w:id="89"/>
      <w:bookmarkEnd w:id="90"/>
      <w:bookmarkEnd w:id="91"/>
      <w:bookmarkEnd w:id="92"/>
    </w:p>
    <w:p w14:paraId="2FFD35B4" w14:textId="2D27E07D" w:rsidR="009855D7" w:rsidRDefault="009855D7" w:rsidP="0049062D">
      <w:pPr>
        <w:pStyle w:val="Heading3"/>
        <w:rPr>
          <w:lang w:val="en-US"/>
        </w:rPr>
      </w:pPr>
      <w:bookmarkStart w:id="93" w:name="_Toc477729381"/>
      <w:bookmarkStart w:id="94" w:name="_Toc477729382"/>
      <w:bookmarkEnd w:id="93"/>
      <w:bookmarkEnd w:id="94"/>
      <w:r>
        <w:rPr>
          <w:lang w:val="en-US"/>
        </w:rPr>
        <w:t>Enhancement to BSR</w:t>
      </w:r>
    </w:p>
    <w:p w14:paraId="7F2FCA56" w14:textId="20C3342E" w:rsidR="004F1324" w:rsidRDefault="005811DC" w:rsidP="0049062D">
      <w:pPr>
        <w:pStyle w:val="Heading4"/>
        <w:rPr>
          <w:lang w:val="en-US"/>
        </w:rPr>
      </w:pPr>
      <w:r>
        <w:rPr>
          <w:lang w:val="en-US"/>
        </w:rPr>
        <w:t>BSR content</w:t>
      </w:r>
    </w:p>
    <w:p w14:paraId="5384DF8D" w14:textId="14331C3F" w:rsidR="00B6678F" w:rsidRDefault="00AD46FB" w:rsidP="00AD46FB">
      <w:pPr>
        <w:rPr>
          <w:rFonts w:cs="Arial"/>
        </w:rPr>
      </w:pPr>
      <w:r>
        <w:rPr>
          <w:rFonts w:cs="Arial"/>
        </w:rPr>
        <w:t>Regarding</w:t>
      </w:r>
      <w:r w:rsidRPr="00370650">
        <w:rPr>
          <w:rFonts w:cs="Arial"/>
        </w:rPr>
        <w:t xml:space="preserve"> data structure of BSR, there are two types</w:t>
      </w:r>
      <w:r>
        <w:rPr>
          <w:rFonts w:cs="Arial"/>
        </w:rPr>
        <w:t xml:space="preserve"> of BSRs in LTE, including </w:t>
      </w:r>
      <w:r w:rsidRPr="00370650">
        <w:rPr>
          <w:rFonts w:cs="Arial"/>
        </w:rPr>
        <w:t xml:space="preserve">Short BSR and Long BSR. With short BSR, UE can inform the amount of data in UL buffer only for one </w:t>
      </w:r>
      <w:r>
        <w:rPr>
          <w:rFonts w:cs="Arial"/>
        </w:rPr>
        <w:t xml:space="preserve">certain </w:t>
      </w:r>
      <w:r w:rsidRPr="00370650">
        <w:rPr>
          <w:rFonts w:cs="Arial"/>
        </w:rPr>
        <w:t>LCG (Logical Channel Group).</w:t>
      </w:r>
      <w:r>
        <w:rPr>
          <w:rFonts w:cs="Arial"/>
        </w:rPr>
        <w:t xml:space="preserve"> While w</w:t>
      </w:r>
      <w:r w:rsidRPr="00370650">
        <w:rPr>
          <w:rFonts w:cs="Arial"/>
        </w:rPr>
        <w:t>ith long BSR, UE can inform the UL buffer information for all LCG</w:t>
      </w:r>
      <w:r>
        <w:rPr>
          <w:rFonts w:cs="Arial"/>
        </w:rPr>
        <w:t>s (up to 4 LCGs supported in LTE)</w:t>
      </w:r>
      <w:r w:rsidRPr="00370650">
        <w:rPr>
          <w:rFonts w:cs="Arial"/>
        </w:rPr>
        <w:t xml:space="preserve">. </w:t>
      </w:r>
      <w:r>
        <w:rPr>
          <w:rFonts w:cs="Arial"/>
        </w:rPr>
        <w:t>There are no</w:t>
      </w:r>
      <w:r w:rsidRPr="00370650">
        <w:rPr>
          <w:rFonts w:cs="Arial"/>
        </w:rPr>
        <w:t xml:space="preserve"> LCG ID field</w:t>
      </w:r>
      <w:r>
        <w:rPr>
          <w:rFonts w:cs="Arial"/>
        </w:rPr>
        <w:t>s</w:t>
      </w:r>
      <w:r w:rsidRPr="00370650">
        <w:rPr>
          <w:rFonts w:cs="Arial"/>
        </w:rPr>
        <w:t xml:space="preserve"> in Long BSR but multiple 'Buffer Size' field, each of which represent one LCG.</w:t>
      </w:r>
      <w:r w:rsidR="0055558C">
        <w:rPr>
          <w:rFonts w:cs="Arial"/>
        </w:rPr>
        <w:t xml:space="preserve"> </w:t>
      </w:r>
    </w:p>
    <w:p w14:paraId="6C82556B" w14:textId="4855943F" w:rsidR="009C6433" w:rsidRDefault="00B6678F" w:rsidP="009C6433">
      <w:pPr>
        <w:rPr>
          <w:lang w:val="en-US"/>
        </w:rPr>
      </w:pPr>
      <w:r>
        <w:rPr>
          <w:rFonts w:cs="Arial"/>
        </w:rPr>
        <w:t>As we proposed in [</w:t>
      </w:r>
      <w:r w:rsidR="00A317BD">
        <w:rPr>
          <w:rFonts w:cs="Arial"/>
        </w:rPr>
        <w:t>1</w:t>
      </w:r>
      <w:r>
        <w:rPr>
          <w:rFonts w:cs="Arial"/>
        </w:rPr>
        <w:t>], it is beneficial to</w:t>
      </w:r>
      <w:r w:rsidR="00397661">
        <w:rPr>
          <w:rFonts w:cs="Arial"/>
        </w:rPr>
        <w:t xml:space="preserve"> report BSR per LCH, instead of </w:t>
      </w:r>
      <w:r>
        <w:rPr>
          <w:rFonts w:cs="Arial"/>
        </w:rPr>
        <w:t xml:space="preserve">LCG. It gives better granularity hence improve the accuracy for BSR. Another benefit is to simplify the management complexity for the network. Therefore, the data structure of BSR must be changed accordingly. </w:t>
      </w:r>
      <w:r w:rsidR="00346596">
        <w:rPr>
          <w:rFonts w:cs="Arial"/>
        </w:rPr>
        <w:t xml:space="preserve">It is unnecessary to keep </w:t>
      </w:r>
      <w:r w:rsidR="009C6433">
        <w:rPr>
          <w:rFonts w:cs="Arial"/>
        </w:rPr>
        <w:t>both short BSR and long BSR.</w:t>
      </w:r>
      <w:r w:rsidR="00DB21CF">
        <w:rPr>
          <w:rFonts w:cs="Arial"/>
        </w:rPr>
        <w:t xml:space="preserve"> It is sufficient to define a unified BSR data structure covering scenarios where one or more than one LCHs that trigger BSR. </w:t>
      </w:r>
    </w:p>
    <w:p w14:paraId="43470B25" w14:textId="197B616A" w:rsidR="009C6433" w:rsidRPr="00A46C19" w:rsidRDefault="00B1122E" w:rsidP="009C6433">
      <w:pPr>
        <w:pStyle w:val="Proposal"/>
      </w:pPr>
      <w:bookmarkStart w:id="95" w:name="_Toc477729384"/>
      <w:bookmarkStart w:id="96" w:name="_Toc477770411"/>
      <w:bookmarkStart w:id="97" w:name="_Toc477812595"/>
      <w:bookmarkStart w:id="98" w:name="_Toc477982841"/>
      <w:bookmarkStart w:id="99" w:name="_Toc478044333"/>
      <w:bookmarkStart w:id="100" w:name="_Toc478045112"/>
      <w:bookmarkStart w:id="101" w:name="_Toc478046667"/>
      <w:r>
        <w:rPr>
          <w:lang w:val="en-US"/>
        </w:rPr>
        <w:t xml:space="preserve">NR </w:t>
      </w:r>
      <w:bookmarkEnd w:id="95"/>
      <w:bookmarkEnd w:id="96"/>
      <w:r>
        <w:rPr>
          <w:lang w:val="en-US"/>
        </w:rPr>
        <w:t>should support a unified BSR format</w:t>
      </w:r>
      <w:r w:rsidR="00E244B5">
        <w:rPr>
          <w:lang w:val="en-US"/>
        </w:rPr>
        <w:t xml:space="preserve"> consisting </w:t>
      </w:r>
      <w:r w:rsidR="00433EFD">
        <w:rPr>
          <w:lang w:val="en-US"/>
        </w:rPr>
        <w:t>buffer size</w:t>
      </w:r>
      <w:r w:rsidR="00D02014">
        <w:rPr>
          <w:lang w:val="en-US"/>
        </w:rPr>
        <w:t>s</w:t>
      </w:r>
      <w:r w:rsidR="00433EFD">
        <w:rPr>
          <w:lang w:val="en-US"/>
        </w:rPr>
        <w:t xml:space="preserve"> (BS) for </w:t>
      </w:r>
      <w:r w:rsidR="00E244B5">
        <w:rPr>
          <w:lang w:val="en-US"/>
        </w:rPr>
        <w:t xml:space="preserve">one or more than </w:t>
      </w:r>
      <w:r w:rsidR="00433EFD">
        <w:rPr>
          <w:lang w:val="en-US"/>
        </w:rPr>
        <w:t>one LCHs</w:t>
      </w:r>
      <w:bookmarkEnd w:id="97"/>
      <w:bookmarkEnd w:id="98"/>
      <w:bookmarkEnd w:id="99"/>
      <w:bookmarkEnd w:id="100"/>
      <w:bookmarkEnd w:id="101"/>
    </w:p>
    <w:p w14:paraId="3CA1FB3F" w14:textId="58204713" w:rsidR="00397661" w:rsidRPr="00A46C19" w:rsidRDefault="003D2932" w:rsidP="00A46C19">
      <w:r w:rsidRPr="005C6579">
        <w:rPr>
          <w:rFonts w:cs="Arial"/>
          <w:lang w:val="en"/>
        </w:rPr>
        <w:t>Keeping the g</w:t>
      </w:r>
      <w:r w:rsidRPr="00A46C19">
        <w:rPr>
          <w:rFonts w:cs="Arial"/>
          <w:lang w:val="en"/>
        </w:rPr>
        <w:t xml:space="preserve">NB informed of the status of </w:t>
      </w:r>
      <w:r w:rsidRPr="005C6579">
        <w:rPr>
          <w:rFonts w:cs="Arial"/>
          <w:lang w:val="en"/>
        </w:rPr>
        <w:t>many</w:t>
      </w:r>
      <w:r w:rsidRPr="00A46C19">
        <w:rPr>
          <w:rFonts w:cs="Arial"/>
          <w:lang w:val="en"/>
        </w:rPr>
        <w:t xml:space="preserve"> </w:t>
      </w:r>
      <w:r w:rsidRPr="005C6579">
        <w:rPr>
          <w:rFonts w:cs="Arial"/>
          <w:lang w:val="en"/>
        </w:rPr>
        <w:t xml:space="preserve">logical channels </w:t>
      </w:r>
      <w:r w:rsidRPr="00C657B5">
        <w:rPr>
          <w:rFonts w:cs="Arial"/>
          <w:lang w:val="en"/>
        </w:rPr>
        <w:t>at the same time would</w:t>
      </w:r>
      <w:r w:rsidRPr="00A46C19">
        <w:rPr>
          <w:rFonts w:cs="Arial"/>
          <w:lang w:val="en"/>
        </w:rPr>
        <w:t xml:space="preserve"> </w:t>
      </w:r>
      <w:r w:rsidRPr="005C6579">
        <w:rPr>
          <w:rFonts w:cs="Arial"/>
          <w:lang w:val="en"/>
        </w:rPr>
        <w:t>mean considerable</w:t>
      </w:r>
      <w:r w:rsidRPr="00A46C19">
        <w:rPr>
          <w:rFonts w:cs="Arial"/>
          <w:lang w:val="en"/>
        </w:rPr>
        <w:t xml:space="preserve"> signaling overhead. A large grant may be also required to carry a BSR with a big size. Consequently, the gNB can </w:t>
      </w:r>
      <w:r>
        <w:rPr>
          <w:rFonts w:cs="Arial"/>
          <w:lang w:val="en"/>
        </w:rPr>
        <w:t>configure a maximum number of LCHs that a UE can report in a single BSR</w:t>
      </w:r>
      <w:r w:rsidR="00397661" w:rsidRPr="005C6579">
        <w:t xml:space="preserve">. </w:t>
      </w:r>
    </w:p>
    <w:p w14:paraId="097342A1" w14:textId="1E189311" w:rsidR="009C6433" w:rsidRDefault="008E7538" w:rsidP="009C6433">
      <w:pPr>
        <w:pStyle w:val="Proposal"/>
      </w:pPr>
      <w:bookmarkStart w:id="102" w:name="_Toc477812596"/>
      <w:bookmarkStart w:id="103" w:name="_Toc477982842"/>
      <w:bookmarkStart w:id="104" w:name="_Toc478044334"/>
      <w:bookmarkStart w:id="105" w:name="_Toc478045113"/>
      <w:bookmarkStart w:id="106" w:name="_Toc478046668"/>
      <w:r>
        <w:t>NW configures the maximum number of LCHs that can be reported in a single BSR</w:t>
      </w:r>
      <w:bookmarkEnd w:id="102"/>
      <w:bookmarkEnd w:id="103"/>
      <w:bookmarkEnd w:id="104"/>
      <w:bookmarkEnd w:id="105"/>
      <w:bookmarkEnd w:id="106"/>
    </w:p>
    <w:p w14:paraId="2FCEACB9" w14:textId="498E2EAC" w:rsidR="008E7538" w:rsidRDefault="008E7538" w:rsidP="009C6433">
      <w:pPr>
        <w:pStyle w:val="Proposal"/>
      </w:pPr>
      <w:bookmarkStart w:id="107" w:name="_Toc477812597"/>
      <w:bookmarkStart w:id="108" w:name="_Toc477982843"/>
      <w:bookmarkStart w:id="109" w:name="_Toc478044335"/>
      <w:bookmarkStart w:id="110" w:name="_Toc478045114"/>
      <w:bookmarkStart w:id="111" w:name="_Toc478046669"/>
      <w:r>
        <w:t>A BSR consists of fields for each reported LCH, including a</w:t>
      </w:r>
      <w:r w:rsidR="00A555C7">
        <w:t>n</w:t>
      </w:r>
      <w:r>
        <w:t xml:space="preserve"> indicator </w:t>
      </w:r>
      <w:r w:rsidR="00A555C7" w:rsidRPr="00A46C19">
        <w:rPr>
          <w:rStyle w:val="st1"/>
          <w:rFonts w:cs="Arial"/>
        </w:rPr>
        <w:t>for the presence or absence of a BS fie</w:t>
      </w:r>
      <w:r w:rsidR="00A555C7">
        <w:rPr>
          <w:rStyle w:val="st1"/>
          <w:rFonts w:cs="Arial"/>
        </w:rPr>
        <w:t>l</w:t>
      </w:r>
      <w:r w:rsidR="00A555C7" w:rsidRPr="00A46C19">
        <w:rPr>
          <w:rStyle w:val="st1"/>
          <w:rFonts w:cs="Arial"/>
        </w:rPr>
        <w:t>d</w:t>
      </w:r>
      <w:r>
        <w:t xml:space="preserve">, and a BS field (if </w:t>
      </w:r>
      <w:r w:rsidR="00A555C7">
        <w:t>the</w:t>
      </w:r>
      <w:r>
        <w:t xml:space="preserve"> indicator</w:t>
      </w:r>
      <w:r w:rsidR="00A555C7">
        <w:t xml:space="preserve"> conveys its presence</w:t>
      </w:r>
      <w:r>
        <w:t>)</w:t>
      </w:r>
      <w:bookmarkEnd w:id="107"/>
      <w:bookmarkEnd w:id="108"/>
      <w:bookmarkEnd w:id="109"/>
      <w:bookmarkEnd w:id="110"/>
      <w:bookmarkEnd w:id="111"/>
    </w:p>
    <w:p w14:paraId="34CE095D" w14:textId="25AE7F22" w:rsidR="00346596" w:rsidRPr="005C6579" w:rsidRDefault="00346596" w:rsidP="00A46C19">
      <w:r w:rsidRPr="005C6579">
        <w:lastRenderedPageBreak/>
        <w:t xml:space="preserve">Upon reception of BSR, the gNB </w:t>
      </w:r>
      <w:r w:rsidRPr="00C657B5">
        <w:t xml:space="preserve">must be made aware of what numerology/TTI duration that is preferred or wanted the data. </w:t>
      </w:r>
      <w:r w:rsidRPr="00A46C19">
        <w:t>Since we assume that a mapping of LCH to numerology/TTI duration will make it possible to infer which numerology/TTI duration to use given the LCH indicated in the BSR, no additional information than the field buffer size (BS) is needed in the BSR</w:t>
      </w:r>
    </w:p>
    <w:p w14:paraId="5D61C892" w14:textId="0DB9965D" w:rsidR="00D81633" w:rsidRDefault="00AE6E4A" w:rsidP="009C6433">
      <w:pPr>
        <w:pStyle w:val="Proposal"/>
      </w:pPr>
      <w:bookmarkStart w:id="112" w:name="_Toc477770413"/>
      <w:bookmarkStart w:id="113" w:name="_Toc477812598"/>
      <w:bookmarkStart w:id="114" w:name="_Toc477982844"/>
      <w:bookmarkStart w:id="115" w:name="_Toc478044336"/>
      <w:bookmarkStart w:id="116" w:name="_Toc478045115"/>
      <w:bookmarkStart w:id="117" w:name="_Toc478046670"/>
      <w:r>
        <w:t>In BSR, n</w:t>
      </w:r>
      <w:r w:rsidR="00D81633">
        <w:t>o additional information than buffer size (BS) is needed to indicate the wanted numerology/TTI duration for the associated logical channel</w:t>
      </w:r>
      <w:bookmarkEnd w:id="112"/>
      <w:bookmarkEnd w:id="113"/>
      <w:bookmarkEnd w:id="114"/>
      <w:bookmarkEnd w:id="115"/>
      <w:bookmarkEnd w:id="116"/>
      <w:bookmarkEnd w:id="117"/>
    </w:p>
    <w:p w14:paraId="6C367065" w14:textId="77777777" w:rsidR="00397657" w:rsidRDefault="00397657" w:rsidP="00397657">
      <w:pPr>
        <w:pStyle w:val="Heading1"/>
        <w:numPr>
          <w:ilvl w:val="0"/>
          <w:numId w:val="16"/>
        </w:numPr>
        <w:textAlignment w:val="auto"/>
      </w:pPr>
      <w:r>
        <w:t>Conclusion</w:t>
      </w:r>
    </w:p>
    <w:p w14:paraId="2BBFA80B" w14:textId="7EB40844" w:rsidR="00E05483" w:rsidRDefault="00E05483" w:rsidP="00E05483">
      <w:r>
        <w:t xml:space="preserve">In section </w:t>
      </w:r>
      <w:r>
        <w:rPr>
          <w:highlight w:val="cyan"/>
        </w:rPr>
        <w:fldChar w:fldCharType="begin"/>
      </w:r>
      <w:r>
        <w:instrText xml:space="preserve"> REF _Ref178064866 \r \h </w:instrText>
      </w:r>
      <w:r>
        <w:rPr>
          <w:highlight w:val="cyan"/>
        </w:rPr>
        <w:instrText xml:space="preserve"> \* MERGEFORMAT </w:instrText>
      </w:r>
      <w:r>
        <w:rPr>
          <w:highlight w:val="cyan"/>
        </w:rPr>
      </w:r>
      <w:r>
        <w:rPr>
          <w:highlight w:val="cyan"/>
        </w:rPr>
        <w:fldChar w:fldCharType="separate"/>
      </w:r>
      <w:r w:rsidR="00726AB4">
        <w:t>2</w:t>
      </w:r>
      <w:r>
        <w:rPr>
          <w:highlight w:val="cyan"/>
        </w:rPr>
        <w:fldChar w:fldCharType="end"/>
      </w:r>
      <w:r>
        <w:t xml:space="preserve"> we made the following observations:</w:t>
      </w:r>
    </w:p>
    <w:p w14:paraId="5B62AAE0" w14:textId="77777777" w:rsidR="00A46C19" w:rsidRPr="00A46C19" w:rsidRDefault="00E05483">
      <w:pPr>
        <w:pStyle w:val="TOC1"/>
        <w:rPr>
          <w:rFonts w:asciiTheme="minorHAnsi" w:eastAsiaTheme="minorEastAsia" w:hAnsiTheme="minorHAnsi" w:cstheme="minorBidi"/>
          <w:b w:val="0"/>
          <w:sz w:val="22"/>
        </w:rPr>
      </w:pPr>
      <w:r>
        <w:rPr>
          <w:b w:val="0"/>
          <w:bCs/>
        </w:rPr>
        <w:fldChar w:fldCharType="begin"/>
      </w:r>
      <w:r>
        <w:rPr>
          <w:b w:val="0"/>
          <w:bCs/>
        </w:rPr>
        <w:instrText xml:space="preserve"> TOC \f \n \t "Observation;1" </w:instrText>
      </w:r>
      <w:r>
        <w:rPr>
          <w:b w:val="0"/>
          <w:bCs/>
        </w:rPr>
        <w:fldChar w:fldCharType="separate"/>
      </w:r>
      <w:r w:rsidR="00A46C19">
        <w:t>Observation 1</w:t>
      </w:r>
      <w:r w:rsidR="00A46C19" w:rsidRPr="00A46C19">
        <w:rPr>
          <w:rFonts w:asciiTheme="minorHAnsi" w:eastAsiaTheme="minorEastAsia" w:hAnsiTheme="minorHAnsi" w:cstheme="minorBidi"/>
          <w:b w:val="0"/>
          <w:sz w:val="22"/>
        </w:rPr>
        <w:tab/>
      </w:r>
      <w:r w:rsidR="00A46C19">
        <w:t>LTE scheduling request saves physical layer resources but does not provide sufficient information for efficient grant allocation in NR.</w:t>
      </w:r>
    </w:p>
    <w:p w14:paraId="7342463D" w14:textId="77777777" w:rsidR="00A46C19" w:rsidRPr="00A46C19" w:rsidRDefault="00A46C19">
      <w:pPr>
        <w:pStyle w:val="TOC1"/>
        <w:rPr>
          <w:rFonts w:asciiTheme="minorHAnsi" w:eastAsiaTheme="minorEastAsia" w:hAnsiTheme="minorHAnsi" w:cstheme="minorBidi"/>
          <w:b w:val="0"/>
          <w:sz w:val="22"/>
        </w:rPr>
      </w:pPr>
      <w:r>
        <w:t>Observation 2</w:t>
      </w:r>
      <w:r w:rsidRPr="00A46C19">
        <w:rPr>
          <w:rFonts w:asciiTheme="minorHAnsi" w:eastAsiaTheme="minorEastAsia" w:hAnsiTheme="minorHAnsi" w:cstheme="minorBidi"/>
          <w:b w:val="0"/>
          <w:sz w:val="22"/>
        </w:rPr>
        <w:tab/>
      </w:r>
      <w:r>
        <w:t>LTE BSRs provide more detailed information than an SR, but it brings additional delay due to the need for a grant.</w:t>
      </w:r>
    </w:p>
    <w:p w14:paraId="508D7D75" w14:textId="77777777" w:rsidR="00A46C19" w:rsidRPr="00A46C19" w:rsidRDefault="00A46C19">
      <w:pPr>
        <w:pStyle w:val="TOC1"/>
        <w:rPr>
          <w:rFonts w:asciiTheme="minorHAnsi" w:eastAsiaTheme="minorEastAsia" w:hAnsiTheme="minorHAnsi" w:cstheme="minorBidi"/>
          <w:b w:val="0"/>
          <w:sz w:val="22"/>
        </w:rPr>
      </w:pPr>
      <w:r>
        <w:t>Observation 3</w:t>
      </w:r>
      <w:r w:rsidRPr="00A46C19">
        <w:rPr>
          <w:rFonts w:asciiTheme="minorHAnsi" w:eastAsiaTheme="minorEastAsia" w:hAnsiTheme="minorHAnsi" w:cstheme="minorBidi"/>
          <w:b w:val="0"/>
          <w:sz w:val="22"/>
        </w:rPr>
        <w:tab/>
      </w:r>
      <w:r>
        <w:t>LTE SR/BSR framework can be reused in NR as a baseline, however further improvement is necessary for NR.</w:t>
      </w:r>
    </w:p>
    <w:p w14:paraId="5F12CF8A" w14:textId="77777777" w:rsidR="00A46C19" w:rsidRPr="00A46C19" w:rsidRDefault="00A46C19">
      <w:pPr>
        <w:pStyle w:val="TOC1"/>
        <w:rPr>
          <w:rFonts w:asciiTheme="minorHAnsi" w:eastAsiaTheme="minorEastAsia" w:hAnsiTheme="minorHAnsi" w:cstheme="minorBidi"/>
          <w:b w:val="0"/>
          <w:sz w:val="22"/>
        </w:rPr>
      </w:pPr>
      <w:r>
        <w:t>Observation 4</w:t>
      </w:r>
      <w:r w:rsidRPr="00A46C19">
        <w:rPr>
          <w:rFonts w:asciiTheme="minorHAnsi" w:eastAsiaTheme="minorEastAsia" w:hAnsiTheme="minorHAnsi" w:cstheme="minorBidi"/>
          <w:b w:val="0"/>
          <w:sz w:val="22"/>
        </w:rPr>
        <w:tab/>
      </w:r>
      <w:r>
        <w:t>More efficient priority handling is achievable by extending additional bits for SR</w:t>
      </w:r>
    </w:p>
    <w:p w14:paraId="6FB0B965" w14:textId="77777777" w:rsidR="00A46C19" w:rsidRPr="00A46C19" w:rsidRDefault="00A46C19">
      <w:pPr>
        <w:pStyle w:val="TOC1"/>
        <w:rPr>
          <w:rFonts w:asciiTheme="minorHAnsi" w:eastAsiaTheme="minorEastAsia" w:hAnsiTheme="minorHAnsi" w:cstheme="minorBidi"/>
          <w:b w:val="0"/>
          <w:sz w:val="22"/>
        </w:rPr>
      </w:pPr>
      <w:r>
        <w:t>Observation 5</w:t>
      </w:r>
      <w:r w:rsidRPr="00A46C19">
        <w:rPr>
          <w:rFonts w:asciiTheme="minorHAnsi" w:eastAsiaTheme="minorEastAsia" w:hAnsiTheme="minorHAnsi" w:cstheme="minorBidi"/>
          <w:b w:val="0"/>
          <w:sz w:val="22"/>
        </w:rPr>
        <w:tab/>
      </w:r>
      <w:r>
        <w:t>More than 1 logical channels may be mapped to the same priority level</w:t>
      </w:r>
    </w:p>
    <w:p w14:paraId="44031ADB" w14:textId="77777777" w:rsidR="00E05483" w:rsidRDefault="00E05483" w:rsidP="00E05483">
      <w:pPr>
        <w:pStyle w:val="BodyText"/>
        <w:rPr>
          <w:b/>
          <w:bCs/>
        </w:rPr>
      </w:pPr>
      <w:r>
        <w:rPr>
          <w:b/>
          <w:bCs/>
        </w:rPr>
        <w:fldChar w:fldCharType="end"/>
      </w:r>
    </w:p>
    <w:p w14:paraId="462A0F76" w14:textId="1737B8A8" w:rsidR="00E05483" w:rsidRDefault="00E05483" w:rsidP="00E05483">
      <w:r>
        <w:t xml:space="preserve">Based on the discussion in Section </w:t>
      </w:r>
      <w:r>
        <w:rPr>
          <w:highlight w:val="cyan"/>
        </w:rPr>
        <w:fldChar w:fldCharType="begin"/>
      </w:r>
      <w:r>
        <w:instrText xml:space="preserve"> REF _Ref178064866 \r \h </w:instrText>
      </w:r>
      <w:r>
        <w:rPr>
          <w:highlight w:val="cyan"/>
        </w:rPr>
        <w:instrText xml:space="preserve"> \* MERGEFORMAT </w:instrText>
      </w:r>
      <w:r>
        <w:rPr>
          <w:highlight w:val="cyan"/>
        </w:rPr>
      </w:r>
      <w:r>
        <w:rPr>
          <w:highlight w:val="cyan"/>
        </w:rPr>
        <w:fldChar w:fldCharType="separate"/>
      </w:r>
      <w:r w:rsidR="00EA09CF">
        <w:t>2</w:t>
      </w:r>
      <w:r>
        <w:rPr>
          <w:highlight w:val="cyan"/>
        </w:rPr>
        <w:fldChar w:fldCharType="end"/>
      </w:r>
      <w:r>
        <w:t xml:space="preserve"> we propose the following:</w:t>
      </w:r>
    </w:p>
    <w:p w14:paraId="5DBEFEE6" w14:textId="77777777" w:rsidR="00EE2D55" w:rsidRPr="00EE2D55" w:rsidRDefault="00E05483">
      <w:pPr>
        <w:pStyle w:val="TOC1"/>
        <w:rPr>
          <w:rFonts w:asciiTheme="minorHAnsi" w:eastAsiaTheme="minorEastAsia" w:hAnsiTheme="minorHAnsi" w:cstheme="minorBidi"/>
          <w:b w:val="0"/>
          <w:sz w:val="22"/>
        </w:rPr>
      </w:pPr>
      <w:r>
        <w:rPr>
          <w:b w:val="0"/>
          <w:bCs/>
        </w:rPr>
        <w:fldChar w:fldCharType="begin"/>
      </w:r>
      <w:r>
        <w:rPr>
          <w:b w:val="0"/>
          <w:bCs/>
        </w:rPr>
        <w:instrText xml:space="preserve"> TOC \f \n \p " " \t "Proposal;1" </w:instrText>
      </w:r>
      <w:r>
        <w:rPr>
          <w:b w:val="0"/>
          <w:bCs/>
        </w:rPr>
        <w:fldChar w:fldCharType="separate"/>
      </w:r>
      <w:r w:rsidR="00EE2D55">
        <w:t>Proposal 1</w:t>
      </w:r>
      <w:r w:rsidR="00EE2D55" w:rsidRPr="00EE2D55">
        <w:rPr>
          <w:rFonts w:asciiTheme="minorHAnsi" w:eastAsiaTheme="minorEastAsia" w:hAnsiTheme="minorHAnsi" w:cstheme="minorBidi"/>
          <w:b w:val="0"/>
          <w:sz w:val="22"/>
        </w:rPr>
        <w:tab/>
      </w:r>
      <w:r w:rsidR="00EE2D55" w:rsidRPr="00923D54">
        <w:t>Extend SR to support 2 bits pending on RAN1’s confirmation</w:t>
      </w:r>
    </w:p>
    <w:p w14:paraId="03459DB1" w14:textId="77777777" w:rsidR="00EE2D55" w:rsidRPr="00EE2D55" w:rsidRDefault="00EE2D55">
      <w:pPr>
        <w:pStyle w:val="TOC1"/>
        <w:rPr>
          <w:rFonts w:asciiTheme="minorHAnsi" w:eastAsiaTheme="minorEastAsia" w:hAnsiTheme="minorHAnsi" w:cstheme="minorBidi"/>
          <w:b w:val="0"/>
          <w:sz w:val="22"/>
        </w:rPr>
      </w:pPr>
      <w:r>
        <w:t>Proposal 2</w:t>
      </w:r>
      <w:r w:rsidRPr="00EE2D55">
        <w:rPr>
          <w:rFonts w:asciiTheme="minorHAnsi" w:eastAsiaTheme="minorEastAsia" w:hAnsiTheme="minorHAnsi" w:cstheme="minorBidi"/>
          <w:b w:val="0"/>
          <w:sz w:val="22"/>
        </w:rPr>
        <w:tab/>
      </w:r>
      <w:r>
        <w:t>Send LS to RAN1 to check the feasibility that SR can be extended to 2 bits</w:t>
      </w:r>
    </w:p>
    <w:p w14:paraId="20BF4481" w14:textId="77777777" w:rsidR="00EE2D55" w:rsidRPr="00EE2D55" w:rsidRDefault="00EE2D55">
      <w:pPr>
        <w:pStyle w:val="TOC1"/>
        <w:rPr>
          <w:rFonts w:asciiTheme="minorHAnsi" w:eastAsiaTheme="minorEastAsia" w:hAnsiTheme="minorHAnsi" w:cstheme="minorBidi"/>
          <w:b w:val="0"/>
          <w:sz w:val="22"/>
        </w:rPr>
      </w:pPr>
      <w:r>
        <w:t>Proposal 3</w:t>
      </w:r>
      <w:r w:rsidRPr="00EE2D55">
        <w:rPr>
          <w:rFonts w:asciiTheme="minorHAnsi" w:eastAsiaTheme="minorEastAsia" w:hAnsiTheme="minorHAnsi" w:cstheme="minorBidi"/>
          <w:b w:val="0"/>
          <w:sz w:val="22"/>
        </w:rPr>
        <w:tab/>
      </w:r>
      <w:r w:rsidRPr="00923D54">
        <w:t>Support extended SR to not only indicate that a UE has data to transmit, but also indicate the priority information of associated logical channels</w:t>
      </w:r>
    </w:p>
    <w:p w14:paraId="64B3BAFE" w14:textId="77777777" w:rsidR="00EE2D55" w:rsidRPr="00EE2D55" w:rsidRDefault="00EE2D55">
      <w:pPr>
        <w:pStyle w:val="TOC1"/>
        <w:rPr>
          <w:rFonts w:asciiTheme="minorHAnsi" w:eastAsiaTheme="minorEastAsia" w:hAnsiTheme="minorHAnsi" w:cstheme="minorBidi"/>
          <w:b w:val="0"/>
          <w:sz w:val="22"/>
        </w:rPr>
      </w:pPr>
      <w:r>
        <w:t>Proposal 4</w:t>
      </w:r>
      <w:r w:rsidRPr="00EE2D55">
        <w:rPr>
          <w:rFonts w:asciiTheme="minorHAnsi" w:eastAsiaTheme="minorEastAsia" w:hAnsiTheme="minorHAnsi" w:cstheme="minorBidi"/>
          <w:b w:val="0"/>
          <w:sz w:val="22"/>
        </w:rPr>
        <w:tab/>
      </w:r>
      <w:r w:rsidRPr="00923D54">
        <w:t>The network can configure a UE to use either 1-bit SR or 2-bits SR</w:t>
      </w:r>
    </w:p>
    <w:p w14:paraId="5E19809B" w14:textId="77777777" w:rsidR="00EE2D55" w:rsidRPr="00EE2D55" w:rsidRDefault="00EE2D55">
      <w:pPr>
        <w:pStyle w:val="TOC1"/>
        <w:rPr>
          <w:rFonts w:asciiTheme="minorHAnsi" w:eastAsiaTheme="minorEastAsia" w:hAnsiTheme="minorHAnsi" w:cstheme="minorBidi"/>
          <w:b w:val="0"/>
          <w:sz w:val="22"/>
        </w:rPr>
      </w:pPr>
      <w:r>
        <w:t>Proposal 5</w:t>
      </w:r>
      <w:r w:rsidRPr="00EE2D55">
        <w:rPr>
          <w:rFonts w:asciiTheme="minorHAnsi" w:eastAsiaTheme="minorEastAsia" w:hAnsiTheme="minorHAnsi" w:cstheme="minorBidi"/>
          <w:b w:val="0"/>
          <w:sz w:val="22"/>
        </w:rPr>
        <w:tab/>
      </w:r>
      <w:r w:rsidRPr="00923D54">
        <w:t>NR should support a unified BSR format consisting buffer sizes (BS) for one or more than one LCHs</w:t>
      </w:r>
    </w:p>
    <w:p w14:paraId="1367AE73" w14:textId="77777777" w:rsidR="00EE2D55" w:rsidRPr="00EE2D55" w:rsidRDefault="00EE2D55">
      <w:pPr>
        <w:pStyle w:val="TOC1"/>
        <w:rPr>
          <w:rFonts w:asciiTheme="minorHAnsi" w:eastAsiaTheme="minorEastAsia" w:hAnsiTheme="minorHAnsi" w:cstheme="minorBidi"/>
          <w:b w:val="0"/>
          <w:sz w:val="22"/>
        </w:rPr>
      </w:pPr>
      <w:r>
        <w:t>Proposal 6</w:t>
      </w:r>
      <w:r w:rsidRPr="00EE2D55">
        <w:rPr>
          <w:rFonts w:asciiTheme="minorHAnsi" w:eastAsiaTheme="minorEastAsia" w:hAnsiTheme="minorHAnsi" w:cstheme="minorBidi"/>
          <w:b w:val="0"/>
          <w:sz w:val="22"/>
        </w:rPr>
        <w:tab/>
      </w:r>
      <w:r>
        <w:t>NW configures the maximum number of LCHs that can be reported in a single BSR</w:t>
      </w:r>
    </w:p>
    <w:p w14:paraId="0B9C3A16" w14:textId="77777777" w:rsidR="00EE2D55" w:rsidRPr="00EE2D55" w:rsidRDefault="00EE2D55">
      <w:pPr>
        <w:pStyle w:val="TOC1"/>
        <w:rPr>
          <w:rFonts w:asciiTheme="minorHAnsi" w:eastAsiaTheme="minorEastAsia" w:hAnsiTheme="minorHAnsi" w:cstheme="minorBidi"/>
          <w:b w:val="0"/>
          <w:sz w:val="22"/>
        </w:rPr>
      </w:pPr>
      <w:r>
        <w:t>Proposal 7</w:t>
      </w:r>
      <w:r w:rsidRPr="00EE2D55">
        <w:rPr>
          <w:rFonts w:asciiTheme="minorHAnsi" w:eastAsiaTheme="minorEastAsia" w:hAnsiTheme="minorHAnsi" w:cstheme="minorBidi"/>
          <w:b w:val="0"/>
          <w:sz w:val="22"/>
        </w:rPr>
        <w:tab/>
      </w:r>
      <w:r>
        <w:t xml:space="preserve">A BSR consists of fields for each reported LCH, including an indicator </w:t>
      </w:r>
      <w:r w:rsidRPr="00923D54">
        <w:rPr>
          <w:rFonts w:cs="Arial"/>
        </w:rPr>
        <w:t>for the presence or absence of a BS field</w:t>
      </w:r>
      <w:r>
        <w:t>, and a BS field (if the indicator conveys its presence)</w:t>
      </w:r>
    </w:p>
    <w:p w14:paraId="036D1C56" w14:textId="77777777" w:rsidR="00EE2D55" w:rsidRPr="00EE2D55" w:rsidRDefault="00EE2D55">
      <w:pPr>
        <w:pStyle w:val="TOC1"/>
        <w:rPr>
          <w:rFonts w:asciiTheme="minorHAnsi" w:eastAsiaTheme="minorEastAsia" w:hAnsiTheme="minorHAnsi" w:cstheme="minorBidi"/>
          <w:b w:val="0"/>
          <w:sz w:val="22"/>
        </w:rPr>
      </w:pPr>
      <w:r>
        <w:t>Proposal 8</w:t>
      </w:r>
      <w:r w:rsidRPr="00EE2D55">
        <w:rPr>
          <w:rFonts w:asciiTheme="minorHAnsi" w:eastAsiaTheme="minorEastAsia" w:hAnsiTheme="minorHAnsi" w:cstheme="minorBidi"/>
          <w:b w:val="0"/>
          <w:sz w:val="22"/>
        </w:rPr>
        <w:tab/>
      </w:r>
      <w:r>
        <w:t>In BSR, no additional information than buffer size (BS) is needed to indicate the wanted numerology/TTI duration for the associated logical channel</w:t>
      </w:r>
    </w:p>
    <w:p w14:paraId="764C5B2C" w14:textId="3A911762" w:rsidR="00E05483" w:rsidRDefault="00E05483" w:rsidP="00E05483">
      <w:r>
        <w:rPr>
          <w:b/>
          <w:bCs/>
        </w:rPr>
        <w:fldChar w:fldCharType="end"/>
      </w:r>
    </w:p>
    <w:p w14:paraId="6A52AF0D" w14:textId="77777777" w:rsidR="00E05483" w:rsidRDefault="00E05483" w:rsidP="00E05483">
      <w:pPr>
        <w:pStyle w:val="Heading1"/>
        <w:numPr>
          <w:ilvl w:val="0"/>
          <w:numId w:val="16"/>
        </w:numPr>
        <w:textAlignment w:val="auto"/>
      </w:pPr>
      <w:bookmarkStart w:id="118" w:name="_In-sequence_SDU_delivery"/>
      <w:bookmarkEnd w:id="118"/>
      <w:r>
        <w:t>References</w:t>
      </w:r>
    </w:p>
    <w:p w14:paraId="32BE5375" w14:textId="52AF79F4" w:rsidR="00F82A13" w:rsidRPr="00CE0424" w:rsidRDefault="00F82A13" w:rsidP="00E05483">
      <w:pPr>
        <w:pStyle w:val="Reference"/>
      </w:pPr>
      <w:r>
        <w:t>R2-</w:t>
      </w:r>
      <w:r w:rsidR="00A529F0">
        <w:t>1702746</w:t>
      </w:r>
      <w:r>
        <w:t xml:space="preserve">, SR and BSR triggering </w:t>
      </w:r>
      <w:r w:rsidR="001660C7">
        <w:t>aspects</w:t>
      </w:r>
      <w:r>
        <w:t>, Ericsson</w:t>
      </w:r>
    </w:p>
    <w:p w14:paraId="6344E4D4" w14:textId="77777777" w:rsidR="00155372" w:rsidRPr="00155372" w:rsidRDefault="00155372" w:rsidP="00155372"/>
    <w:sectPr w:rsidR="00155372" w:rsidRPr="00155372">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9B6F2C" w14:textId="77777777" w:rsidR="000C0F0F" w:rsidRDefault="000C0F0F">
      <w:r>
        <w:separator/>
      </w:r>
    </w:p>
  </w:endnote>
  <w:endnote w:type="continuationSeparator" w:id="0">
    <w:p w14:paraId="7B071370" w14:textId="77777777" w:rsidR="000C0F0F" w:rsidRDefault="000C0F0F">
      <w:r>
        <w:continuationSeparator/>
      </w:r>
    </w:p>
  </w:endnote>
  <w:endnote w:type="continuationNotice" w:id="1">
    <w:p w14:paraId="5ED5748B" w14:textId="77777777" w:rsidR="000C0F0F" w:rsidRDefault="000C0F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Ericsson Capital TT">
    <w:charset w:val="00"/>
    <w:family w:val="auto"/>
    <w:pitch w:val="variable"/>
    <w:sig w:usb0="800002A7" w:usb1="4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等线">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86CB0" w14:textId="267AC684" w:rsidR="000C0F0F" w:rsidRDefault="000C0F0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6A2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6A2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9278C3" w14:textId="77777777" w:rsidR="000C0F0F" w:rsidRDefault="000C0F0F">
      <w:r>
        <w:separator/>
      </w:r>
    </w:p>
  </w:footnote>
  <w:footnote w:type="continuationSeparator" w:id="0">
    <w:p w14:paraId="38694144" w14:textId="77777777" w:rsidR="000C0F0F" w:rsidRDefault="000C0F0F">
      <w:r>
        <w:continuationSeparator/>
      </w:r>
    </w:p>
  </w:footnote>
  <w:footnote w:type="continuationNotice" w:id="1">
    <w:p w14:paraId="5C0D97A2" w14:textId="77777777" w:rsidR="000C0F0F" w:rsidRDefault="000C0F0F">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A5653" w14:textId="77777777" w:rsidR="000C0F0F" w:rsidRDefault="000C0F0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54720" w14:textId="77777777" w:rsidR="000C0F0F" w:rsidRDefault="000C0F0F">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2000EC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101447C"/>
    <w:multiLevelType w:val="hybridMultilevel"/>
    <w:tmpl w:val="EFDC8F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017A4EB9"/>
    <w:multiLevelType w:val="multilevel"/>
    <w:tmpl w:val="A2701314"/>
    <w:lvl w:ilvl="0">
      <w:start w:val="1"/>
      <w:numFmt w:val="decimal"/>
      <w:lvlText w:val="%1."/>
      <w:lvlJc w:val="left"/>
      <w:pPr>
        <w:tabs>
          <w:tab w:val="num" w:pos="2608"/>
        </w:tabs>
        <w:ind w:left="2608" w:hanging="1304"/>
      </w:pPr>
      <w:rPr>
        <w:rFonts w:hint="default"/>
      </w:rPr>
    </w:lvl>
    <w:lvl w:ilvl="1">
      <w:start w:val="1"/>
      <w:numFmt w:val="lowerLetter"/>
      <w:lvlText w:val="%2."/>
      <w:lvlJc w:val="left"/>
      <w:pPr>
        <w:tabs>
          <w:tab w:val="num" w:pos="2744"/>
        </w:tabs>
        <w:ind w:left="2744" w:hanging="360"/>
      </w:pPr>
    </w:lvl>
    <w:lvl w:ilvl="2">
      <w:start w:val="1"/>
      <w:numFmt w:val="lowerRoman"/>
      <w:lvlText w:val="%3."/>
      <w:lvlJc w:val="right"/>
      <w:pPr>
        <w:tabs>
          <w:tab w:val="num" w:pos="3464"/>
        </w:tabs>
        <w:ind w:left="3464" w:hanging="180"/>
      </w:pPr>
    </w:lvl>
    <w:lvl w:ilvl="3">
      <w:start w:val="1"/>
      <w:numFmt w:val="decimal"/>
      <w:lvlText w:val="%4."/>
      <w:lvlJc w:val="left"/>
      <w:pPr>
        <w:tabs>
          <w:tab w:val="num" w:pos="4184"/>
        </w:tabs>
        <w:ind w:left="4184" w:hanging="360"/>
      </w:pPr>
    </w:lvl>
    <w:lvl w:ilvl="4">
      <w:start w:val="1"/>
      <w:numFmt w:val="lowerLetter"/>
      <w:lvlText w:val="%5."/>
      <w:lvlJc w:val="left"/>
      <w:pPr>
        <w:tabs>
          <w:tab w:val="num" w:pos="4904"/>
        </w:tabs>
        <w:ind w:left="4904" w:hanging="360"/>
      </w:pPr>
    </w:lvl>
    <w:lvl w:ilvl="5">
      <w:start w:val="1"/>
      <w:numFmt w:val="lowerRoman"/>
      <w:lvlText w:val="%6."/>
      <w:lvlJc w:val="right"/>
      <w:pPr>
        <w:tabs>
          <w:tab w:val="num" w:pos="5624"/>
        </w:tabs>
        <w:ind w:left="5624" w:hanging="180"/>
      </w:pPr>
    </w:lvl>
    <w:lvl w:ilvl="6">
      <w:start w:val="1"/>
      <w:numFmt w:val="decimal"/>
      <w:lvlText w:val="%7."/>
      <w:lvlJc w:val="left"/>
      <w:pPr>
        <w:tabs>
          <w:tab w:val="num" w:pos="6344"/>
        </w:tabs>
        <w:ind w:left="6344" w:hanging="360"/>
      </w:pPr>
    </w:lvl>
    <w:lvl w:ilvl="7">
      <w:start w:val="1"/>
      <w:numFmt w:val="lowerLetter"/>
      <w:lvlText w:val="%8."/>
      <w:lvlJc w:val="left"/>
      <w:pPr>
        <w:tabs>
          <w:tab w:val="num" w:pos="7064"/>
        </w:tabs>
        <w:ind w:left="7064" w:hanging="360"/>
      </w:pPr>
    </w:lvl>
    <w:lvl w:ilvl="8">
      <w:start w:val="1"/>
      <w:numFmt w:val="lowerRoman"/>
      <w:lvlText w:val="%9."/>
      <w:lvlJc w:val="right"/>
      <w:pPr>
        <w:tabs>
          <w:tab w:val="num" w:pos="7784"/>
        </w:tabs>
        <w:ind w:left="7784" w:hanging="180"/>
      </w:pPr>
    </w:lvl>
  </w:abstractNum>
  <w:abstractNum w:abstractNumId="6">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10703CBA"/>
    <w:multiLevelType w:val="hybridMultilevel"/>
    <w:tmpl w:val="B2841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8C544B"/>
    <w:multiLevelType w:val="multilevel"/>
    <w:tmpl w:val="A80C5B28"/>
    <w:lvl w:ilvl="0">
      <w:start w:val="1"/>
      <w:numFmt w:val="lowerLetter"/>
      <w:lvlText w:val="%1."/>
      <w:lvlJc w:val="left"/>
      <w:pPr>
        <w:ind w:left="1664" w:hanging="360"/>
      </w:pPr>
      <w:rPr>
        <w:rFonts w:hint="default"/>
      </w:rPr>
    </w:lvl>
    <w:lvl w:ilvl="1">
      <w:start w:val="1"/>
      <w:numFmt w:val="lowerLetter"/>
      <w:lvlText w:val="%2."/>
      <w:lvlJc w:val="left"/>
      <w:pPr>
        <w:tabs>
          <w:tab w:val="num" w:pos="2744"/>
        </w:tabs>
        <w:ind w:left="2744" w:hanging="360"/>
      </w:pPr>
    </w:lvl>
    <w:lvl w:ilvl="2">
      <w:start w:val="1"/>
      <w:numFmt w:val="lowerRoman"/>
      <w:lvlText w:val="%3."/>
      <w:lvlJc w:val="right"/>
      <w:pPr>
        <w:tabs>
          <w:tab w:val="num" w:pos="3464"/>
        </w:tabs>
        <w:ind w:left="3464" w:hanging="180"/>
      </w:pPr>
    </w:lvl>
    <w:lvl w:ilvl="3">
      <w:start w:val="1"/>
      <w:numFmt w:val="decimal"/>
      <w:lvlText w:val="%4."/>
      <w:lvlJc w:val="left"/>
      <w:pPr>
        <w:tabs>
          <w:tab w:val="num" w:pos="4184"/>
        </w:tabs>
        <w:ind w:left="4184" w:hanging="360"/>
      </w:pPr>
    </w:lvl>
    <w:lvl w:ilvl="4">
      <w:start w:val="1"/>
      <w:numFmt w:val="lowerLetter"/>
      <w:lvlText w:val="%5."/>
      <w:lvlJc w:val="left"/>
      <w:pPr>
        <w:tabs>
          <w:tab w:val="num" w:pos="4904"/>
        </w:tabs>
        <w:ind w:left="4904" w:hanging="360"/>
      </w:pPr>
    </w:lvl>
    <w:lvl w:ilvl="5">
      <w:start w:val="1"/>
      <w:numFmt w:val="lowerRoman"/>
      <w:lvlText w:val="%6."/>
      <w:lvlJc w:val="right"/>
      <w:pPr>
        <w:tabs>
          <w:tab w:val="num" w:pos="5624"/>
        </w:tabs>
        <w:ind w:left="5624" w:hanging="180"/>
      </w:pPr>
    </w:lvl>
    <w:lvl w:ilvl="6">
      <w:start w:val="1"/>
      <w:numFmt w:val="decimal"/>
      <w:lvlText w:val="%7."/>
      <w:lvlJc w:val="left"/>
      <w:pPr>
        <w:tabs>
          <w:tab w:val="num" w:pos="6344"/>
        </w:tabs>
        <w:ind w:left="6344" w:hanging="360"/>
      </w:pPr>
    </w:lvl>
    <w:lvl w:ilvl="7">
      <w:start w:val="1"/>
      <w:numFmt w:val="lowerLetter"/>
      <w:lvlText w:val="%8."/>
      <w:lvlJc w:val="left"/>
      <w:pPr>
        <w:tabs>
          <w:tab w:val="num" w:pos="7064"/>
        </w:tabs>
        <w:ind w:left="7064" w:hanging="360"/>
      </w:pPr>
    </w:lvl>
    <w:lvl w:ilvl="8">
      <w:start w:val="1"/>
      <w:numFmt w:val="lowerRoman"/>
      <w:lvlText w:val="%9."/>
      <w:lvlJc w:val="right"/>
      <w:pPr>
        <w:tabs>
          <w:tab w:val="num" w:pos="7784"/>
        </w:tabs>
        <w:ind w:left="7784" w:hanging="180"/>
      </w:pPr>
    </w:lvl>
  </w:abstractNum>
  <w:abstractNum w:abstractNumId="9">
    <w:nsid w:val="1C9546E4"/>
    <w:multiLevelType w:val="hybridMultilevel"/>
    <w:tmpl w:val="98CA132A"/>
    <w:lvl w:ilvl="0" w:tplc="AAA050C6">
      <w:start w:val="1"/>
      <w:numFmt w:val="bullet"/>
      <w:lvlText w:val="–"/>
      <w:lvlJc w:val="left"/>
      <w:pPr>
        <w:tabs>
          <w:tab w:val="num" w:pos="720"/>
        </w:tabs>
        <w:ind w:left="720" w:hanging="360"/>
      </w:pPr>
      <w:rPr>
        <w:rFonts w:ascii="Ericsson Capital TT" w:hAnsi="Ericsson Capital TT" w:hint="default"/>
      </w:rPr>
    </w:lvl>
    <w:lvl w:ilvl="1" w:tplc="45EE332A">
      <w:start w:val="1"/>
      <w:numFmt w:val="bullet"/>
      <w:lvlText w:val="–"/>
      <w:lvlJc w:val="left"/>
      <w:pPr>
        <w:tabs>
          <w:tab w:val="num" w:pos="1440"/>
        </w:tabs>
        <w:ind w:left="1440" w:hanging="360"/>
      </w:pPr>
      <w:rPr>
        <w:rFonts w:ascii="Ericsson Capital TT" w:hAnsi="Ericsson Capital TT" w:hint="default"/>
      </w:rPr>
    </w:lvl>
    <w:lvl w:ilvl="2" w:tplc="4F329DDC" w:tentative="1">
      <w:start w:val="1"/>
      <w:numFmt w:val="bullet"/>
      <w:lvlText w:val="–"/>
      <w:lvlJc w:val="left"/>
      <w:pPr>
        <w:tabs>
          <w:tab w:val="num" w:pos="2160"/>
        </w:tabs>
        <w:ind w:left="2160" w:hanging="360"/>
      </w:pPr>
      <w:rPr>
        <w:rFonts w:ascii="Ericsson Capital TT" w:hAnsi="Ericsson Capital TT" w:hint="default"/>
      </w:rPr>
    </w:lvl>
    <w:lvl w:ilvl="3" w:tplc="73421138" w:tentative="1">
      <w:start w:val="1"/>
      <w:numFmt w:val="bullet"/>
      <w:lvlText w:val="–"/>
      <w:lvlJc w:val="left"/>
      <w:pPr>
        <w:tabs>
          <w:tab w:val="num" w:pos="2880"/>
        </w:tabs>
        <w:ind w:left="2880" w:hanging="360"/>
      </w:pPr>
      <w:rPr>
        <w:rFonts w:ascii="Ericsson Capital TT" w:hAnsi="Ericsson Capital TT" w:hint="default"/>
      </w:rPr>
    </w:lvl>
    <w:lvl w:ilvl="4" w:tplc="091CF46C" w:tentative="1">
      <w:start w:val="1"/>
      <w:numFmt w:val="bullet"/>
      <w:lvlText w:val="–"/>
      <w:lvlJc w:val="left"/>
      <w:pPr>
        <w:tabs>
          <w:tab w:val="num" w:pos="3600"/>
        </w:tabs>
        <w:ind w:left="3600" w:hanging="360"/>
      </w:pPr>
      <w:rPr>
        <w:rFonts w:ascii="Ericsson Capital TT" w:hAnsi="Ericsson Capital TT" w:hint="default"/>
      </w:rPr>
    </w:lvl>
    <w:lvl w:ilvl="5" w:tplc="7E10D2E2" w:tentative="1">
      <w:start w:val="1"/>
      <w:numFmt w:val="bullet"/>
      <w:lvlText w:val="–"/>
      <w:lvlJc w:val="left"/>
      <w:pPr>
        <w:tabs>
          <w:tab w:val="num" w:pos="4320"/>
        </w:tabs>
        <w:ind w:left="4320" w:hanging="360"/>
      </w:pPr>
      <w:rPr>
        <w:rFonts w:ascii="Ericsson Capital TT" w:hAnsi="Ericsson Capital TT" w:hint="default"/>
      </w:rPr>
    </w:lvl>
    <w:lvl w:ilvl="6" w:tplc="BC3CE7DC" w:tentative="1">
      <w:start w:val="1"/>
      <w:numFmt w:val="bullet"/>
      <w:lvlText w:val="–"/>
      <w:lvlJc w:val="left"/>
      <w:pPr>
        <w:tabs>
          <w:tab w:val="num" w:pos="5040"/>
        </w:tabs>
        <w:ind w:left="5040" w:hanging="360"/>
      </w:pPr>
      <w:rPr>
        <w:rFonts w:ascii="Ericsson Capital TT" w:hAnsi="Ericsson Capital TT" w:hint="default"/>
      </w:rPr>
    </w:lvl>
    <w:lvl w:ilvl="7" w:tplc="916E8BE8" w:tentative="1">
      <w:start w:val="1"/>
      <w:numFmt w:val="bullet"/>
      <w:lvlText w:val="–"/>
      <w:lvlJc w:val="left"/>
      <w:pPr>
        <w:tabs>
          <w:tab w:val="num" w:pos="5760"/>
        </w:tabs>
        <w:ind w:left="5760" w:hanging="360"/>
      </w:pPr>
      <w:rPr>
        <w:rFonts w:ascii="Ericsson Capital TT" w:hAnsi="Ericsson Capital TT" w:hint="default"/>
      </w:rPr>
    </w:lvl>
    <w:lvl w:ilvl="8" w:tplc="AE407362" w:tentative="1">
      <w:start w:val="1"/>
      <w:numFmt w:val="bullet"/>
      <w:lvlText w:val="–"/>
      <w:lvlJc w:val="left"/>
      <w:pPr>
        <w:tabs>
          <w:tab w:val="num" w:pos="6480"/>
        </w:tabs>
        <w:ind w:left="6480" w:hanging="360"/>
      </w:pPr>
      <w:rPr>
        <w:rFonts w:ascii="Ericsson Capital TT" w:hAnsi="Ericsson Capital TT" w:hint="default"/>
      </w:rPr>
    </w:lvl>
  </w:abstractNum>
  <w:abstractNum w:abstractNumId="10">
    <w:nsid w:val="23A34AC5"/>
    <w:multiLevelType w:val="hybridMultilevel"/>
    <w:tmpl w:val="0A769AC0"/>
    <w:lvl w:ilvl="0" w:tplc="08090019">
      <w:start w:val="1"/>
      <w:numFmt w:val="lowerLetter"/>
      <w:lvlText w:val="%1."/>
      <w:lvlJc w:val="left"/>
      <w:pPr>
        <w:ind w:left="1664" w:hanging="360"/>
      </w:pPr>
      <w:rPr>
        <w:rFonts w:hint="default"/>
      </w:rPr>
    </w:lvl>
    <w:lvl w:ilvl="1" w:tplc="08090001">
      <w:start w:val="1"/>
      <w:numFmt w:val="bullet"/>
      <w:lvlText w:val=""/>
      <w:lvlJc w:val="left"/>
      <w:pPr>
        <w:ind w:left="2744" w:hanging="360"/>
      </w:pPr>
      <w:rPr>
        <w:rFonts w:ascii="Symbol" w:hAnsi="Symbol" w:hint="default"/>
      </w:rPr>
    </w:lvl>
    <w:lvl w:ilvl="2" w:tplc="0409001B" w:tentative="1">
      <w:start w:val="1"/>
      <w:numFmt w:val="lowerRoman"/>
      <w:lvlText w:val="%3."/>
      <w:lvlJc w:val="right"/>
      <w:pPr>
        <w:tabs>
          <w:tab w:val="num" w:pos="3464"/>
        </w:tabs>
        <w:ind w:left="3464" w:hanging="180"/>
      </w:pPr>
    </w:lvl>
    <w:lvl w:ilvl="3" w:tplc="0409000F" w:tentative="1">
      <w:start w:val="1"/>
      <w:numFmt w:val="decimal"/>
      <w:lvlText w:val="%4."/>
      <w:lvlJc w:val="left"/>
      <w:pPr>
        <w:tabs>
          <w:tab w:val="num" w:pos="4184"/>
        </w:tabs>
        <w:ind w:left="4184" w:hanging="360"/>
      </w:pPr>
    </w:lvl>
    <w:lvl w:ilvl="4" w:tplc="04090019" w:tentative="1">
      <w:start w:val="1"/>
      <w:numFmt w:val="lowerLetter"/>
      <w:lvlText w:val="%5."/>
      <w:lvlJc w:val="left"/>
      <w:pPr>
        <w:tabs>
          <w:tab w:val="num" w:pos="4904"/>
        </w:tabs>
        <w:ind w:left="4904" w:hanging="360"/>
      </w:pPr>
    </w:lvl>
    <w:lvl w:ilvl="5" w:tplc="0409001B" w:tentative="1">
      <w:start w:val="1"/>
      <w:numFmt w:val="lowerRoman"/>
      <w:lvlText w:val="%6."/>
      <w:lvlJc w:val="right"/>
      <w:pPr>
        <w:tabs>
          <w:tab w:val="num" w:pos="5624"/>
        </w:tabs>
        <w:ind w:left="5624" w:hanging="180"/>
      </w:pPr>
    </w:lvl>
    <w:lvl w:ilvl="6" w:tplc="0409000F" w:tentative="1">
      <w:start w:val="1"/>
      <w:numFmt w:val="decimal"/>
      <w:lvlText w:val="%7."/>
      <w:lvlJc w:val="left"/>
      <w:pPr>
        <w:tabs>
          <w:tab w:val="num" w:pos="6344"/>
        </w:tabs>
        <w:ind w:left="6344" w:hanging="360"/>
      </w:pPr>
    </w:lvl>
    <w:lvl w:ilvl="7" w:tplc="04090019" w:tentative="1">
      <w:start w:val="1"/>
      <w:numFmt w:val="lowerLetter"/>
      <w:lvlText w:val="%8."/>
      <w:lvlJc w:val="left"/>
      <w:pPr>
        <w:tabs>
          <w:tab w:val="num" w:pos="7064"/>
        </w:tabs>
        <w:ind w:left="7064" w:hanging="360"/>
      </w:pPr>
    </w:lvl>
    <w:lvl w:ilvl="8" w:tplc="0409001B" w:tentative="1">
      <w:start w:val="1"/>
      <w:numFmt w:val="lowerRoman"/>
      <w:lvlText w:val="%9."/>
      <w:lvlJc w:val="right"/>
      <w:pPr>
        <w:tabs>
          <w:tab w:val="num" w:pos="7784"/>
        </w:tabs>
        <w:ind w:left="7784" w:hanging="180"/>
      </w:pPr>
    </w:lvl>
  </w:abstractNum>
  <w:abstractNum w:abstractNumId="11">
    <w:nsid w:val="23FB1660"/>
    <w:multiLevelType w:val="hybridMultilevel"/>
    <w:tmpl w:val="C1D0E85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nsid w:val="26C51A4E"/>
    <w:multiLevelType w:val="hybridMultilevel"/>
    <w:tmpl w:val="0E8675FC"/>
    <w:lvl w:ilvl="0" w:tplc="D6EA838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3">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D2349F3"/>
    <w:multiLevelType w:val="hybridMultilevel"/>
    <w:tmpl w:val="4274CFA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8F212E5"/>
    <w:multiLevelType w:val="hybridMultilevel"/>
    <w:tmpl w:val="6DF27BB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68805504"/>
    <w:multiLevelType w:val="hybridMultilevel"/>
    <w:tmpl w:val="7C9C0C3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6E44667A"/>
    <w:multiLevelType w:val="hybridMultilevel"/>
    <w:tmpl w:val="32C0379A"/>
    <w:lvl w:ilvl="0" w:tplc="5BB6EC62">
      <w:start w:val="1"/>
      <w:numFmt w:val="bullet"/>
      <w:lvlText w:val="›"/>
      <w:lvlJc w:val="left"/>
      <w:pPr>
        <w:tabs>
          <w:tab w:val="num" w:pos="360"/>
        </w:tabs>
        <w:ind w:left="360" w:hanging="360"/>
      </w:pPr>
      <w:rPr>
        <w:rFonts w:ascii="Arial" w:hAnsi="Arial" w:hint="default"/>
      </w:rPr>
    </w:lvl>
    <w:lvl w:ilvl="1" w:tplc="F35E289C">
      <w:start w:val="63"/>
      <w:numFmt w:val="bullet"/>
      <w:lvlText w:val="–"/>
      <w:lvlJc w:val="left"/>
      <w:pPr>
        <w:tabs>
          <w:tab w:val="num" w:pos="1080"/>
        </w:tabs>
        <w:ind w:left="1080" w:hanging="360"/>
      </w:pPr>
      <w:rPr>
        <w:rFonts w:ascii="Ericsson Capital TT" w:hAnsi="Ericsson Capital TT" w:hint="default"/>
      </w:rPr>
    </w:lvl>
    <w:lvl w:ilvl="2" w:tplc="65ACCF52" w:tentative="1">
      <w:start w:val="1"/>
      <w:numFmt w:val="bullet"/>
      <w:lvlText w:val="›"/>
      <w:lvlJc w:val="left"/>
      <w:pPr>
        <w:tabs>
          <w:tab w:val="num" w:pos="1800"/>
        </w:tabs>
        <w:ind w:left="1800" w:hanging="360"/>
      </w:pPr>
      <w:rPr>
        <w:rFonts w:ascii="Arial" w:hAnsi="Arial" w:hint="default"/>
      </w:rPr>
    </w:lvl>
    <w:lvl w:ilvl="3" w:tplc="FB7EA74A" w:tentative="1">
      <w:start w:val="1"/>
      <w:numFmt w:val="bullet"/>
      <w:lvlText w:val="›"/>
      <w:lvlJc w:val="left"/>
      <w:pPr>
        <w:tabs>
          <w:tab w:val="num" w:pos="2520"/>
        </w:tabs>
        <w:ind w:left="2520" w:hanging="360"/>
      </w:pPr>
      <w:rPr>
        <w:rFonts w:ascii="Arial" w:hAnsi="Arial" w:hint="default"/>
      </w:rPr>
    </w:lvl>
    <w:lvl w:ilvl="4" w:tplc="4630332A" w:tentative="1">
      <w:start w:val="1"/>
      <w:numFmt w:val="bullet"/>
      <w:lvlText w:val="›"/>
      <w:lvlJc w:val="left"/>
      <w:pPr>
        <w:tabs>
          <w:tab w:val="num" w:pos="3240"/>
        </w:tabs>
        <w:ind w:left="3240" w:hanging="360"/>
      </w:pPr>
      <w:rPr>
        <w:rFonts w:ascii="Arial" w:hAnsi="Arial" w:hint="default"/>
      </w:rPr>
    </w:lvl>
    <w:lvl w:ilvl="5" w:tplc="1EE21924" w:tentative="1">
      <w:start w:val="1"/>
      <w:numFmt w:val="bullet"/>
      <w:lvlText w:val="›"/>
      <w:lvlJc w:val="left"/>
      <w:pPr>
        <w:tabs>
          <w:tab w:val="num" w:pos="3960"/>
        </w:tabs>
        <w:ind w:left="3960" w:hanging="360"/>
      </w:pPr>
      <w:rPr>
        <w:rFonts w:ascii="Arial" w:hAnsi="Arial" w:hint="default"/>
      </w:rPr>
    </w:lvl>
    <w:lvl w:ilvl="6" w:tplc="DFECE16C" w:tentative="1">
      <w:start w:val="1"/>
      <w:numFmt w:val="bullet"/>
      <w:lvlText w:val="›"/>
      <w:lvlJc w:val="left"/>
      <w:pPr>
        <w:tabs>
          <w:tab w:val="num" w:pos="4680"/>
        </w:tabs>
        <w:ind w:left="4680" w:hanging="360"/>
      </w:pPr>
      <w:rPr>
        <w:rFonts w:ascii="Arial" w:hAnsi="Arial" w:hint="default"/>
      </w:rPr>
    </w:lvl>
    <w:lvl w:ilvl="7" w:tplc="B25E6344" w:tentative="1">
      <w:start w:val="1"/>
      <w:numFmt w:val="bullet"/>
      <w:lvlText w:val="›"/>
      <w:lvlJc w:val="left"/>
      <w:pPr>
        <w:tabs>
          <w:tab w:val="num" w:pos="5400"/>
        </w:tabs>
        <w:ind w:left="5400" w:hanging="360"/>
      </w:pPr>
      <w:rPr>
        <w:rFonts w:ascii="Arial" w:hAnsi="Arial" w:hint="default"/>
      </w:rPr>
    </w:lvl>
    <w:lvl w:ilvl="8" w:tplc="945ADE22" w:tentative="1">
      <w:start w:val="1"/>
      <w:numFmt w:val="bullet"/>
      <w:lvlText w:val="›"/>
      <w:lvlJc w:val="left"/>
      <w:pPr>
        <w:tabs>
          <w:tab w:val="num" w:pos="6120"/>
        </w:tabs>
        <w:ind w:left="6120" w:hanging="360"/>
      </w:pPr>
      <w:rPr>
        <w:rFonts w:ascii="Arial" w:hAnsi="Arial" w:hint="default"/>
      </w:rPr>
    </w:lvl>
  </w:abstractNum>
  <w:num w:numId="1">
    <w:abstractNumId w:val="6"/>
  </w:num>
  <w:num w:numId="2">
    <w:abstractNumId w:val="20"/>
  </w:num>
  <w:num w:numId="3">
    <w:abstractNumId w:val="17"/>
  </w:num>
  <w:num w:numId="4">
    <w:abstractNumId w:val="18"/>
  </w:num>
  <w:num w:numId="5">
    <w:abstractNumId w:val="15"/>
  </w:num>
  <w:num w:numId="6">
    <w:abstractNumId w:val="19"/>
  </w:num>
  <w:num w:numId="7">
    <w:abstractNumId w:val="22"/>
  </w:num>
  <w:num w:numId="8">
    <w:abstractNumId w:val="16"/>
  </w:num>
  <w:num w:numId="9">
    <w:abstractNumId w:val="13"/>
  </w:num>
  <w:num w:numId="10">
    <w:abstractNumId w:val="3"/>
  </w:num>
  <w:num w:numId="11">
    <w:abstractNumId w:val="2"/>
  </w:num>
  <w:num w:numId="12">
    <w:abstractNumId w:val="1"/>
  </w:num>
  <w:num w:numId="13">
    <w:abstractNumId w:val="21"/>
  </w:num>
  <w:num w:numId="14">
    <w:abstractNumId w:val="17"/>
    <w:lvlOverride w:ilvl="0">
      <w:startOverride w:val="1"/>
    </w:lvlOverride>
  </w:num>
  <w:num w:numId="15">
    <w:abstractNumId w:val="21"/>
    <w:lvlOverride w:ilvl="0">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2"/>
  </w:num>
  <w:num w:numId="19">
    <w:abstractNumId w:val="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4"/>
  </w:num>
  <w:num w:numId="23">
    <w:abstractNumId w:val="25"/>
  </w:num>
  <w:num w:numId="24">
    <w:abstractNumId w:val="17"/>
  </w:num>
  <w:num w:numId="25">
    <w:abstractNumId w:val="10"/>
  </w:num>
  <w:num w:numId="26">
    <w:abstractNumId w:val="0"/>
  </w:num>
  <w:num w:numId="27">
    <w:abstractNumId w:val="5"/>
  </w:num>
  <w:num w:numId="28">
    <w:abstractNumId w:val="8"/>
  </w:num>
  <w:num w:numId="29">
    <w:abstractNumId w:val="23"/>
  </w:num>
  <w:num w:numId="30">
    <w:abstractNumId w:val="24"/>
  </w:num>
  <w:num w:numId="3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060"/>
    <w:rsid w:val="00002A37"/>
    <w:rsid w:val="00003A0B"/>
    <w:rsid w:val="00006446"/>
    <w:rsid w:val="00006896"/>
    <w:rsid w:val="00006E95"/>
    <w:rsid w:val="00007689"/>
    <w:rsid w:val="00007CDC"/>
    <w:rsid w:val="00010564"/>
    <w:rsid w:val="00011B28"/>
    <w:rsid w:val="00014C57"/>
    <w:rsid w:val="00015D15"/>
    <w:rsid w:val="0002564D"/>
    <w:rsid w:val="0002570C"/>
    <w:rsid w:val="00025B5B"/>
    <w:rsid w:val="00025ECA"/>
    <w:rsid w:val="00027939"/>
    <w:rsid w:val="0003010F"/>
    <w:rsid w:val="000325B8"/>
    <w:rsid w:val="00034C15"/>
    <w:rsid w:val="00036151"/>
    <w:rsid w:val="00036BA1"/>
    <w:rsid w:val="00041EDA"/>
    <w:rsid w:val="000422E2"/>
    <w:rsid w:val="00042F22"/>
    <w:rsid w:val="00043D89"/>
    <w:rsid w:val="000444EF"/>
    <w:rsid w:val="00051275"/>
    <w:rsid w:val="00052A07"/>
    <w:rsid w:val="000534E3"/>
    <w:rsid w:val="00054FFD"/>
    <w:rsid w:val="0005606A"/>
    <w:rsid w:val="000561F2"/>
    <w:rsid w:val="00057117"/>
    <w:rsid w:val="000616E7"/>
    <w:rsid w:val="0006487E"/>
    <w:rsid w:val="00064E8A"/>
    <w:rsid w:val="00065E1A"/>
    <w:rsid w:val="000754C3"/>
    <w:rsid w:val="00075EF0"/>
    <w:rsid w:val="00077E5F"/>
    <w:rsid w:val="0008036A"/>
    <w:rsid w:val="00081535"/>
    <w:rsid w:val="00081AE6"/>
    <w:rsid w:val="00081F40"/>
    <w:rsid w:val="00085167"/>
    <w:rsid w:val="000855EB"/>
    <w:rsid w:val="00085B52"/>
    <w:rsid w:val="000866F2"/>
    <w:rsid w:val="00086E2D"/>
    <w:rsid w:val="0009009F"/>
    <w:rsid w:val="00091557"/>
    <w:rsid w:val="000924C1"/>
    <w:rsid w:val="000924F0"/>
    <w:rsid w:val="00093474"/>
    <w:rsid w:val="0009510F"/>
    <w:rsid w:val="000A1B7B"/>
    <w:rsid w:val="000A56F2"/>
    <w:rsid w:val="000A60EC"/>
    <w:rsid w:val="000A7644"/>
    <w:rsid w:val="000B2719"/>
    <w:rsid w:val="000B3A8F"/>
    <w:rsid w:val="000B4AB9"/>
    <w:rsid w:val="000B58C3"/>
    <w:rsid w:val="000B61E9"/>
    <w:rsid w:val="000B754D"/>
    <w:rsid w:val="000C06F5"/>
    <w:rsid w:val="000C0F0F"/>
    <w:rsid w:val="000C165A"/>
    <w:rsid w:val="000C2E19"/>
    <w:rsid w:val="000C506D"/>
    <w:rsid w:val="000D0B28"/>
    <w:rsid w:val="000D0D07"/>
    <w:rsid w:val="000D4797"/>
    <w:rsid w:val="000D58B3"/>
    <w:rsid w:val="000D6361"/>
    <w:rsid w:val="000D794C"/>
    <w:rsid w:val="000E0527"/>
    <w:rsid w:val="000E1E92"/>
    <w:rsid w:val="000E3C8C"/>
    <w:rsid w:val="000E5810"/>
    <w:rsid w:val="000F06D6"/>
    <w:rsid w:val="000F0EB1"/>
    <w:rsid w:val="000F1106"/>
    <w:rsid w:val="000F3809"/>
    <w:rsid w:val="000F3BE9"/>
    <w:rsid w:val="000F3F6C"/>
    <w:rsid w:val="000F6DF3"/>
    <w:rsid w:val="001005FF"/>
    <w:rsid w:val="00105494"/>
    <w:rsid w:val="001062FB"/>
    <w:rsid w:val="001063E6"/>
    <w:rsid w:val="0010701F"/>
    <w:rsid w:val="00112F08"/>
    <w:rsid w:val="00113CF4"/>
    <w:rsid w:val="001153EA"/>
    <w:rsid w:val="00115643"/>
    <w:rsid w:val="00116765"/>
    <w:rsid w:val="00120A07"/>
    <w:rsid w:val="001219F5"/>
    <w:rsid w:val="00121A20"/>
    <w:rsid w:val="00122F2E"/>
    <w:rsid w:val="0012345A"/>
    <w:rsid w:val="0012377F"/>
    <w:rsid w:val="00124314"/>
    <w:rsid w:val="001245D7"/>
    <w:rsid w:val="00126B4A"/>
    <w:rsid w:val="00130C81"/>
    <w:rsid w:val="00132407"/>
    <w:rsid w:val="00132FD0"/>
    <w:rsid w:val="001344C0"/>
    <w:rsid w:val="001346FA"/>
    <w:rsid w:val="00135252"/>
    <w:rsid w:val="00137AB5"/>
    <w:rsid w:val="00137F0B"/>
    <w:rsid w:val="0014066E"/>
    <w:rsid w:val="00140DC8"/>
    <w:rsid w:val="00141725"/>
    <w:rsid w:val="0014529F"/>
    <w:rsid w:val="00146A94"/>
    <w:rsid w:val="0015122F"/>
    <w:rsid w:val="00151E23"/>
    <w:rsid w:val="001526E0"/>
    <w:rsid w:val="00152C08"/>
    <w:rsid w:val="001551B5"/>
    <w:rsid w:val="00155372"/>
    <w:rsid w:val="00155388"/>
    <w:rsid w:val="0015541E"/>
    <w:rsid w:val="00157BAC"/>
    <w:rsid w:val="00157D5F"/>
    <w:rsid w:val="0016398D"/>
    <w:rsid w:val="001643A8"/>
    <w:rsid w:val="001659C1"/>
    <w:rsid w:val="001660C7"/>
    <w:rsid w:val="001679B1"/>
    <w:rsid w:val="00173A8E"/>
    <w:rsid w:val="00173EDE"/>
    <w:rsid w:val="00174042"/>
    <w:rsid w:val="001746BF"/>
    <w:rsid w:val="00176426"/>
    <w:rsid w:val="00176B13"/>
    <w:rsid w:val="00176D1C"/>
    <w:rsid w:val="0017760E"/>
    <w:rsid w:val="00177795"/>
    <w:rsid w:val="0018143F"/>
    <w:rsid w:val="001861C1"/>
    <w:rsid w:val="00190AC1"/>
    <w:rsid w:val="00192F15"/>
    <w:rsid w:val="0019341A"/>
    <w:rsid w:val="00194C77"/>
    <w:rsid w:val="00197DF9"/>
    <w:rsid w:val="001A1987"/>
    <w:rsid w:val="001A2564"/>
    <w:rsid w:val="001A27F3"/>
    <w:rsid w:val="001A3123"/>
    <w:rsid w:val="001A3EA6"/>
    <w:rsid w:val="001A6173"/>
    <w:rsid w:val="001A6CBA"/>
    <w:rsid w:val="001B0D97"/>
    <w:rsid w:val="001B3084"/>
    <w:rsid w:val="001B331B"/>
    <w:rsid w:val="001B5A5D"/>
    <w:rsid w:val="001B7D06"/>
    <w:rsid w:val="001C1CE5"/>
    <w:rsid w:val="001C3D2A"/>
    <w:rsid w:val="001C4D9C"/>
    <w:rsid w:val="001C51ED"/>
    <w:rsid w:val="001C571F"/>
    <w:rsid w:val="001C6335"/>
    <w:rsid w:val="001C6495"/>
    <w:rsid w:val="001D0D23"/>
    <w:rsid w:val="001D1857"/>
    <w:rsid w:val="001D19EA"/>
    <w:rsid w:val="001D51BA"/>
    <w:rsid w:val="001D6342"/>
    <w:rsid w:val="001D6D53"/>
    <w:rsid w:val="001D6E57"/>
    <w:rsid w:val="001D7474"/>
    <w:rsid w:val="001D7E95"/>
    <w:rsid w:val="001E2531"/>
    <w:rsid w:val="001E4A2C"/>
    <w:rsid w:val="001E5394"/>
    <w:rsid w:val="001E58E2"/>
    <w:rsid w:val="001E7AED"/>
    <w:rsid w:val="001F3916"/>
    <w:rsid w:val="001F3C26"/>
    <w:rsid w:val="001F54C5"/>
    <w:rsid w:val="001F5A00"/>
    <w:rsid w:val="001F662C"/>
    <w:rsid w:val="001F7074"/>
    <w:rsid w:val="00200490"/>
    <w:rsid w:val="00201F3A"/>
    <w:rsid w:val="00202D41"/>
    <w:rsid w:val="00203F96"/>
    <w:rsid w:val="002069B2"/>
    <w:rsid w:val="00207FA3"/>
    <w:rsid w:val="002103D0"/>
    <w:rsid w:val="002111A5"/>
    <w:rsid w:val="00212181"/>
    <w:rsid w:val="00212BE8"/>
    <w:rsid w:val="00212C2F"/>
    <w:rsid w:val="00214DA8"/>
    <w:rsid w:val="00215423"/>
    <w:rsid w:val="002158FA"/>
    <w:rsid w:val="00220600"/>
    <w:rsid w:val="002224DB"/>
    <w:rsid w:val="002226D5"/>
    <w:rsid w:val="00223F2C"/>
    <w:rsid w:val="00223FCB"/>
    <w:rsid w:val="00224567"/>
    <w:rsid w:val="00224FAD"/>
    <w:rsid w:val="002252C3"/>
    <w:rsid w:val="00225C54"/>
    <w:rsid w:val="00226DCC"/>
    <w:rsid w:val="00230765"/>
    <w:rsid w:val="002319E4"/>
    <w:rsid w:val="0023334C"/>
    <w:rsid w:val="00235632"/>
    <w:rsid w:val="00235872"/>
    <w:rsid w:val="0023594F"/>
    <w:rsid w:val="00237D99"/>
    <w:rsid w:val="00241559"/>
    <w:rsid w:val="00242028"/>
    <w:rsid w:val="0024275B"/>
    <w:rsid w:val="002435B3"/>
    <w:rsid w:val="002458EB"/>
    <w:rsid w:val="00246641"/>
    <w:rsid w:val="00247FC0"/>
    <w:rsid w:val="002500C8"/>
    <w:rsid w:val="0025234C"/>
    <w:rsid w:val="00257543"/>
    <w:rsid w:val="002617E7"/>
    <w:rsid w:val="00261FC8"/>
    <w:rsid w:val="002632EA"/>
    <w:rsid w:val="00264228"/>
    <w:rsid w:val="00264334"/>
    <w:rsid w:val="0026473E"/>
    <w:rsid w:val="00265531"/>
    <w:rsid w:val="00265DA4"/>
    <w:rsid w:val="00266214"/>
    <w:rsid w:val="00267C83"/>
    <w:rsid w:val="00267DA5"/>
    <w:rsid w:val="00271131"/>
    <w:rsid w:val="0027144F"/>
    <w:rsid w:val="00271F3A"/>
    <w:rsid w:val="00273278"/>
    <w:rsid w:val="002737F4"/>
    <w:rsid w:val="00275E6F"/>
    <w:rsid w:val="002766B9"/>
    <w:rsid w:val="002805F5"/>
    <w:rsid w:val="00280751"/>
    <w:rsid w:val="0028280A"/>
    <w:rsid w:val="0028381E"/>
    <w:rsid w:val="0028539B"/>
    <w:rsid w:val="00285419"/>
    <w:rsid w:val="00285E0E"/>
    <w:rsid w:val="0028660A"/>
    <w:rsid w:val="00286ACD"/>
    <w:rsid w:val="00287838"/>
    <w:rsid w:val="002907B5"/>
    <w:rsid w:val="00290B96"/>
    <w:rsid w:val="00291CFD"/>
    <w:rsid w:val="00292EB7"/>
    <w:rsid w:val="00295776"/>
    <w:rsid w:val="00295F9B"/>
    <w:rsid w:val="00296227"/>
    <w:rsid w:val="00296F44"/>
    <w:rsid w:val="0029777D"/>
    <w:rsid w:val="002A055E"/>
    <w:rsid w:val="002A1D4E"/>
    <w:rsid w:val="002A2869"/>
    <w:rsid w:val="002A3399"/>
    <w:rsid w:val="002A3581"/>
    <w:rsid w:val="002A4C1F"/>
    <w:rsid w:val="002B178D"/>
    <w:rsid w:val="002B24D6"/>
    <w:rsid w:val="002B2633"/>
    <w:rsid w:val="002B382E"/>
    <w:rsid w:val="002B3CD0"/>
    <w:rsid w:val="002B7B02"/>
    <w:rsid w:val="002C41E6"/>
    <w:rsid w:val="002C51E9"/>
    <w:rsid w:val="002C6631"/>
    <w:rsid w:val="002D071A"/>
    <w:rsid w:val="002D2BB1"/>
    <w:rsid w:val="002D34B2"/>
    <w:rsid w:val="002D7637"/>
    <w:rsid w:val="002E15D6"/>
    <w:rsid w:val="002E17F2"/>
    <w:rsid w:val="002E1C49"/>
    <w:rsid w:val="002E30D1"/>
    <w:rsid w:val="002E5701"/>
    <w:rsid w:val="002E7CAE"/>
    <w:rsid w:val="002F26CC"/>
    <w:rsid w:val="002F2771"/>
    <w:rsid w:val="002F2B42"/>
    <w:rsid w:val="002F37A9"/>
    <w:rsid w:val="002F450C"/>
    <w:rsid w:val="002F7B0A"/>
    <w:rsid w:val="002F7B2C"/>
    <w:rsid w:val="00301CE6"/>
    <w:rsid w:val="0030256B"/>
    <w:rsid w:val="0030501F"/>
    <w:rsid w:val="0030580F"/>
    <w:rsid w:val="003069E5"/>
    <w:rsid w:val="00307BA1"/>
    <w:rsid w:val="00307BA2"/>
    <w:rsid w:val="00311702"/>
    <w:rsid w:val="00311E82"/>
    <w:rsid w:val="00313FD6"/>
    <w:rsid w:val="003143BD"/>
    <w:rsid w:val="0031689F"/>
    <w:rsid w:val="003203ED"/>
    <w:rsid w:val="00322C9F"/>
    <w:rsid w:val="00322E6A"/>
    <w:rsid w:val="00324D23"/>
    <w:rsid w:val="00324FBA"/>
    <w:rsid w:val="00331751"/>
    <w:rsid w:val="00334579"/>
    <w:rsid w:val="00335858"/>
    <w:rsid w:val="00336BDA"/>
    <w:rsid w:val="00342BD7"/>
    <w:rsid w:val="003434F8"/>
    <w:rsid w:val="00343A07"/>
    <w:rsid w:val="00344908"/>
    <w:rsid w:val="00346596"/>
    <w:rsid w:val="00346DB5"/>
    <w:rsid w:val="00346DEA"/>
    <w:rsid w:val="003477B1"/>
    <w:rsid w:val="00347E07"/>
    <w:rsid w:val="00350B22"/>
    <w:rsid w:val="00352521"/>
    <w:rsid w:val="0035445E"/>
    <w:rsid w:val="0035482C"/>
    <w:rsid w:val="00357380"/>
    <w:rsid w:val="00357C19"/>
    <w:rsid w:val="003602D9"/>
    <w:rsid w:val="003604CE"/>
    <w:rsid w:val="003604D3"/>
    <w:rsid w:val="00360EF6"/>
    <w:rsid w:val="00360F70"/>
    <w:rsid w:val="003627DB"/>
    <w:rsid w:val="00362B08"/>
    <w:rsid w:val="0036397F"/>
    <w:rsid w:val="0036484B"/>
    <w:rsid w:val="00365C8E"/>
    <w:rsid w:val="00370E47"/>
    <w:rsid w:val="00372B38"/>
    <w:rsid w:val="003742AC"/>
    <w:rsid w:val="003770FA"/>
    <w:rsid w:val="00377CE1"/>
    <w:rsid w:val="003808EE"/>
    <w:rsid w:val="0038380E"/>
    <w:rsid w:val="00385BF0"/>
    <w:rsid w:val="003871CC"/>
    <w:rsid w:val="00387728"/>
    <w:rsid w:val="00390BDD"/>
    <w:rsid w:val="003939FF"/>
    <w:rsid w:val="00397657"/>
    <w:rsid w:val="00397661"/>
    <w:rsid w:val="003A110A"/>
    <w:rsid w:val="003A13F1"/>
    <w:rsid w:val="003A2223"/>
    <w:rsid w:val="003A24A0"/>
    <w:rsid w:val="003A2A0F"/>
    <w:rsid w:val="003A4095"/>
    <w:rsid w:val="003A45A1"/>
    <w:rsid w:val="003A5B0A"/>
    <w:rsid w:val="003A6BAC"/>
    <w:rsid w:val="003A7D72"/>
    <w:rsid w:val="003A7EF3"/>
    <w:rsid w:val="003B159C"/>
    <w:rsid w:val="003B299D"/>
    <w:rsid w:val="003B369F"/>
    <w:rsid w:val="003B36A3"/>
    <w:rsid w:val="003B7C76"/>
    <w:rsid w:val="003B7FE5"/>
    <w:rsid w:val="003C11C8"/>
    <w:rsid w:val="003C1FB3"/>
    <w:rsid w:val="003C2702"/>
    <w:rsid w:val="003C52E6"/>
    <w:rsid w:val="003C7806"/>
    <w:rsid w:val="003D109F"/>
    <w:rsid w:val="003D212D"/>
    <w:rsid w:val="003D2478"/>
    <w:rsid w:val="003D2932"/>
    <w:rsid w:val="003D2FC4"/>
    <w:rsid w:val="003D2FDA"/>
    <w:rsid w:val="003D396E"/>
    <w:rsid w:val="003D3C45"/>
    <w:rsid w:val="003D5B1F"/>
    <w:rsid w:val="003D67E8"/>
    <w:rsid w:val="003E0FB9"/>
    <w:rsid w:val="003E15FA"/>
    <w:rsid w:val="003E4DEB"/>
    <w:rsid w:val="003E55E4"/>
    <w:rsid w:val="003E57AD"/>
    <w:rsid w:val="003E6C23"/>
    <w:rsid w:val="003E74E3"/>
    <w:rsid w:val="003F05C7"/>
    <w:rsid w:val="003F2286"/>
    <w:rsid w:val="003F2CD4"/>
    <w:rsid w:val="003F6BBE"/>
    <w:rsid w:val="004000E8"/>
    <w:rsid w:val="00402E2B"/>
    <w:rsid w:val="00403EC1"/>
    <w:rsid w:val="00403F7D"/>
    <w:rsid w:val="0040512B"/>
    <w:rsid w:val="00405CA5"/>
    <w:rsid w:val="00405E6B"/>
    <w:rsid w:val="00406A28"/>
    <w:rsid w:val="00407CD3"/>
    <w:rsid w:val="00410134"/>
    <w:rsid w:val="00410B72"/>
    <w:rsid w:val="00410F18"/>
    <w:rsid w:val="0041263E"/>
    <w:rsid w:val="00413317"/>
    <w:rsid w:val="004133D5"/>
    <w:rsid w:val="00413AAC"/>
    <w:rsid w:val="00413BD8"/>
    <w:rsid w:val="00415B3C"/>
    <w:rsid w:val="00420341"/>
    <w:rsid w:val="00421105"/>
    <w:rsid w:val="00423467"/>
    <w:rsid w:val="004242F4"/>
    <w:rsid w:val="0042475D"/>
    <w:rsid w:val="00427248"/>
    <w:rsid w:val="00427D47"/>
    <w:rsid w:val="00431A37"/>
    <w:rsid w:val="00432071"/>
    <w:rsid w:val="00433EFD"/>
    <w:rsid w:val="00434D7B"/>
    <w:rsid w:val="00437447"/>
    <w:rsid w:val="00441A92"/>
    <w:rsid w:val="00441F13"/>
    <w:rsid w:val="00444F56"/>
    <w:rsid w:val="0044511D"/>
    <w:rsid w:val="00446488"/>
    <w:rsid w:val="004517AA"/>
    <w:rsid w:val="00452A55"/>
    <w:rsid w:val="00452CAC"/>
    <w:rsid w:val="004530AF"/>
    <w:rsid w:val="00453E88"/>
    <w:rsid w:val="00456D11"/>
    <w:rsid w:val="00456D36"/>
    <w:rsid w:val="00457565"/>
    <w:rsid w:val="00457B71"/>
    <w:rsid w:val="004618B1"/>
    <w:rsid w:val="00462DFC"/>
    <w:rsid w:val="00465F3A"/>
    <w:rsid w:val="004669E2"/>
    <w:rsid w:val="00470C31"/>
    <w:rsid w:val="004734D0"/>
    <w:rsid w:val="0047482A"/>
    <w:rsid w:val="00474F6C"/>
    <w:rsid w:val="0047556B"/>
    <w:rsid w:val="00475892"/>
    <w:rsid w:val="00476CD0"/>
    <w:rsid w:val="00477768"/>
    <w:rsid w:val="00481187"/>
    <w:rsid w:val="004852AE"/>
    <w:rsid w:val="0049062D"/>
    <w:rsid w:val="00490871"/>
    <w:rsid w:val="00492BC5"/>
    <w:rsid w:val="004933F1"/>
    <w:rsid w:val="004964F1"/>
    <w:rsid w:val="004A16BC"/>
    <w:rsid w:val="004A2B94"/>
    <w:rsid w:val="004A3D16"/>
    <w:rsid w:val="004B5D48"/>
    <w:rsid w:val="004B6410"/>
    <w:rsid w:val="004B766F"/>
    <w:rsid w:val="004B7C0C"/>
    <w:rsid w:val="004C2D91"/>
    <w:rsid w:val="004C33F3"/>
    <w:rsid w:val="004C3898"/>
    <w:rsid w:val="004C4031"/>
    <w:rsid w:val="004D2E40"/>
    <w:rsid w:val="004D36B1"/>
    <w:rsid w:val="004D4EEA"/>
    <w:rsid w:val="004D7EBD"/>
    <w:rsid w:val="004E1C15"/>
    <w:rsid w:val="004E2680"/>
    <w:rsid w:val="004E28F9"/>
    <w:rsid w:val="004E462E"/>
    <w:rsid w:val="004E56DC"/>
    <w:rsid w:val="004E572E"/>
    <w:rsid w:val="004E7262"/>
    <w:rsid w:val="004E76F4"/>
    <w:rsid w:val="004F059A"/>
    <w:rsid w:val="004F0A17"/>
    <w:rsid w:val="004F0B4E"/>
    <w:rsid w:val="004F0B6C"/>
    <w:rsid w:val="004F0E59"/>
    <w:rsid w:val="004F1324"/>
    <w:rsid w:val="004F2078"/>
    <w:rsid w:val="004F2C09"/>
    <w:rsid w:val="004F4DA3"/>
    <w:rsid w:val="004F7771"/>
    <w:rsid w:val="00504181"/>
    <w:rsid w:val="005043F8"/>
    <w:rsid w:val="00506557"/>
    <w:rsid w:val="0050677A"/>
    <w:rsid w:val="005108D8"/>
    <w:rsid w:val="005116F9"/>
    <w:rsid w:val="00511E6F"/>
    <w:rsid w:val="005153A7"/>
    <w:rsid w:val="005219CF"/>
    <w:rsid w:val="00524BE4"/>
    <w:rsid w:val="005269A3"/>
    <w:rsid w:val="00527449"/>
    <w:rsid w:val="005313B4"/>
    <w:rsid w:val="00531AC7"/>
    <w:rsid w:val="00532B4B"/>
    <w:rsid w:val="00533622"/>
    <w:rsid w:val="00533A90"/>
    <w:rsid w:val="00534B59"/>
    <w:rsid w:val="00535F27"/>
    <w:rsid w:val="005364E3"/>
    <w:rsid w:val="00536759"/>
    <w:rsid w:val="00537C62"/>
    <w:rsid w:val="00543420"/>
    <w:rsid w:val="00546970"/>
    <w:rsid w:val="00551512"/>
    <w:rsid w:val="00554E19"/>
    <w:rsid w:val="0055558C"/>
    <w:rsid w:val="005561E8"/>
    <w:rsid w:val="005574F6"/>
    <w:rsid w:val="00557A53"/>
    <w:rsid w:val="00560A38"/>
    <w:rsid w:val="00560FF2"/>
    <w:rsid w:val="005611B3"/>
    <w:rsid w:val="0056121F"/>
    <w:rsid w:val="0056180E"/>
    <w:rsid w:val="00561CD5"/>
    <w:rsid w:val="0056355A"/>
    <w:rsid w:val="005637CC"/>
    <w:rsid w:val="00564922"/>
    <w:rsid w:val="00565C59"/>
    <w:rsid w:val="0057163C"/>
    <w:rsid w:val="00572505"/>
    <w:rsid w:val="005739D3"/>
    <w:rsid w:val="005754AF"/>
    <w:rsid w:val="005756B5"/>
    <w:rsid w:val="00576599"/>
    <w:rsid w:val="00580706"/>
    <w:rsid w:val="00580A36"/>
    <w:rsid w:val="005811DC"/>
    <w:rsid w:val="0058130C"/>
    <w:rsid w:val="00581BBF"/>
    <w:rsid w:val="00582809"/>
    <w:rsid w:val="00586C5B"/>
    <w:rsid w:val="005872B4"/>
    <w:rsid w:val="0058798C"/>
    <w:rsid w:val="005900FA"/>
    <w:rsid w:val="00590966"/>
    <w:rsid w:val="00592BA2"/>
    <w:rsid w:val="005935A4"/>
    <w:rsid w:val="005948C2"/>
    <w:rsid w:val="00595DCA"/>
    <w:rsid w:val="0059779B"/>
    <w:rsid w:val="005A0754"/>
    <w:rsid w:val="005A154E"/>
    <w:rsid w:val="005A209A"/>
    <w:rsid w:val="005A38B4"/>
    <w:rsid w:val="005A5B97"/>
    <w:rsid w:val="005A662D"/>
    <w:rsid w:val="005B0502"/>
    <w:rsid w:val="005B0619"/>
    <w:rsid w:val="005B35D7"/>
    <w:rsid w:val="005B3844"/>
    <w:rsid w:val="005B392A"/>
    <w:rsid w:val="005B3AA3"/>
    <w:rsid w:val="005B4EED"/>
    <w:rsid w:val="005B4F0C"/>
    <w:rsid w:val="005B648D"/>
    <w:rsid w:val="005B6F83"/>
    <w:rsid w:val="005C2BC4"/>
    <w:rsid w:val="005C4803"/>
    <w:rsid w:val="005C5A52"/>
    <w:rsid w:val="005C6579"/>
    <w:rsid w:val="005C74FB"/>
    <w:rsid w:val="005D05F2"/>
    <w:rsid w:val="005D1602"/>
    <w:rsid w:val="005D2288"/>
    <w:rsid w:val="005E36DB"/>
    <w:rsid w:val="005E385F"/>
    <w:rsid w:val="005E43F4"/>
    <w:rsid w:val="005E5B81"/>
    <w:rsid w:val="005F04FA"/>
    <w:rsid w:val="005F0A1C"/>
    <w:rsid w:val="005F11BF"/>
    <w:rsid w:val="005F2CB1"/>
    <w:rsid w:val="005F3025"/>
    <w:rsid w:val="005F55DC"/>
    <w:rsid w:val="005F587D"/>
    <w:rsid w:val="005F618C"/>
    <w:rsid w:val="005F70BD"/>
    <w:rsid w:val="0060283C"/>
    <w:rsid w:val="00604F14"/>
    <w:rsid w:val="00607A0A"/>
    <w:rsid w:val="00610751"/>
    <w:rsid w:val="00611B83"/>
    <w:rsid w:val="00613257"/>
    <w:rsid w:val="00617FEE"/>
    <w:rsid w:val="00620A71"/>
    <w:rsid w:val="00620AD3"/>
    <w:rsid w:val="00620D80"/>
    <w:rsid w:val="00622786"/>
    <w:rsid w:val="006234A6"/>
    <w:rsid w:val="00624461"/>
    <w:rsid w:val="006248C0"/>
    <w:rsid w:val="00624BE0"/>
    <w:rsid w:val="00624D23"/>
    <w:rsid w:val="00630001"/>
    <w:rsid w:val="006311B3"/>
    <w:rsid w:val="0063276E"/>
    <w:rsid w:val="0063284C"/>
    <w:rsid w:val="00632A07"/>
    <w:rsid w:val="00636398"/>
    <w:rsid w:val="006368D3"/>
    <w:rsid w:val="006377EC"/>
    <w:rsid w:val="006378B2"/>
    <w:rsid w:val="00640CE9"/>
    <w:rsid w:val="0064151F"/>
    <w:rsid w:val="00641533"/>
    <w:rsid w:val="0064208D"/>
    <w:rsid w:val="00643475"/>
    <w:rsid w:val="00643571"/>
    <w:rsid w:val="0064396A"/>
    <w:rsid w:val="0064624E"/>
    <w:rsid w:val="00646964"/>
    <w:rsid w:val="00650AB9"/>
    <w:rsid w:val="0065469C"/>
    <w:rsid w:val="006553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603"/>
    <w:rsid w:val="00675C72"/>
    <w:rsid w:val="006771F9"/>
    <w:rsid w:val="006776D7"/>
    <w:rsid w:val="00681003"/>
    <w:rsid w:val="006817C9"/>
    <w:rsid w:val="00683ECE"/>
    <w:rsid w:val="00685D97"/>
    <w:rsid w:val="00685EFE"/>
    <w:rsid w:val="00686697"/>
    <w:rsid w:val="00690DB5"/>
    <w:rsid w:val="006911C1"/>
    <w:rsid w:val="00693B03"/>
    <w:rsid w:val="00695FC2"/>
    <w:rsid w:val="00696949"/>
    <w:rsid w:val="00697052"/>
    <w:rsid w:val="006A3AE8"/>
    <w:rsid w:val="006A41ED"/>
    <w:rsid w:val="006A46FB"/>
    <w:rsid w:val="006A53F8"/>
    <w:rsid w:val="006A5E28"/>
    <w:rsid w:val="006A697B"/>
    <w:rsid w:val="006A7AFF"/>
    <w:rsid w:val="006B1816"/>
    <w:rsid w:val="006B2099"/>
    <w:rsid w:val="006B50CF"/>
    <w:rsid w:val="006B5EE0"/>
    <w:rsid w:val="006C03B8"/>
    <w:rsid w:val="006C3C6D"/>
    <w:rsid w:val="006C5503"/>
    <w:rsid w:val="006C5EC9"/>
    <w:rsid w:val="006C6059"/>
    <w:rsid w:val="006C7522"/>
    <w:rsid w:val="006D3EE5"/>
    <w:rsid w:val="006D6D47"/>
    <w:rsid w:val="006D6F08"/>
    <w:rsid w:val="006D7069"/>
    <w:rsid w:val="006E062C"/>
    <w:rsid w:val="006E28B7"/>
    <w:rsid w:val="006E3310"/>
    <w:rsid w:val="006E4E39"/>
    <w:rsid w:val="006E565E"/>
    <w:rsid w:val="006E673D"/>
    <w:rsid w:val="006E7D3B"/>
    <w:rsid w:val="006F06BB"/>
    <w:rsid w:val="006F1634"/>
    <w:rsid w:val="006F1B70"/>
    <w:rsid w:val="006F341D"/>
    <w:rsid w:val="006F3CDE"/>
    <w:rsid w:val="006F58D4"/>
    <w:rsid w:val="006F6A4C"/>
    <w:rsid w:val="0070346E"/>
    <w:rsid w:val="0070386E"/>
    <w:rsid w:val="007043FB"/>
    <w:rsid w:val="00704EDB"/>
    <w:rsid w:val="0070537F"/>
    <w:rsid w:val="00706101"/>
    <w:rsid w:val="00707072"/>
    <w:rsid w:val="00707D61"/>
    <w:rsid w:val="00712287"/>
    <w:rsid w:val="00712772"/>
    <w:rsid w:val="007148D3"/>
    <w:rsid w:val="00714D56"/>
    <w:rsid w:val="00715765"/>
    <w:rsid w:val="00715B9A"/>
    <w:rsid w:val="00720BB4"/>
    <w:rsid w:val="00721475"/>
    <w:rsid w:val="00721593"/>
    <w:rsid w:val="00723E7A"/>
    <w:rsid w:val="00724908"/>
    <w:rsid w:val="00726AB4"/>
    <w:rsid w:val="00726EA6"/>
    <w:rsid w:val="00727208"/>
    <w:rsid w:val="00727680"/>
    <w:rsid w:val="00727F66"/>
    <w:rsid w:val="00731BAB"/>
    <w:rsid w:val="00733B2B"/>
    <w:rsid w:val="007348B1"/>
    <w:rsid w:val="00734B23"/>
    <w:rsid w:val="007362A6"/>
    <w:rsid w:val="0073690D"/>
    <w:rsid w:val="00736B85"/>
    <w:rsid w:val="00736D7D"/>
    <w:rsid w:val="0074070A"/>
    <w:rsid w:val="00740E58"/>
    <w:rsid w:val="00742EBB"/>
    <w:rsid w:val="007445A0"/>
    <w:rsid w:val="0074524B"/>
    <w:rsid w:val="00747D8B"/>
    <w:rsid w:val="00750116"/>
    <w:rsid w:val="00751228"/>
    <w:rsid w:val="00753A1A"/>
    <w:rsid w:val="00756248"/>
    <w:rsid w:val="007571E1"/>
    <w:rsid w:val="0075787C"/>
    <w:rsid w:val="007604B2"/>
    <w:rsid w:val="0076276C"/>
    <w:rsid w:val="00763D18"/>
    <w:rsid w:val="00763EC7"/>
    <w:rsid w:val="00765281"/>
    <w:rsid w:val="0076559B"/>
    <w:rsid w:val="00765CAE"/>
    <w:rsid w:val="00766BAD"/>
    <w:rsid w:val="007714D4"/>
    <w:rsid w:val="00771F74"/>
    <w:rsid w:val="00772779"/>
    <w:rsid w:val="007730BD"/>
    <w:rsid w:val="007755F2"/>
    <w:rsid w:val="00776971"/>
    <w:rsid w:val="00777F69"/>
    <w:rsid w:val="0078177E"/>
    <w:rsid w:val="00781D85"/>
    <w:rsid w:val="00782BD0"/>
    <w:rsid w:val="0078304C"/>
    <w:rsid w:val="0078338F"/>
    <w:rsid w:val="00783673"/>
    <w:rsid w:val="0078540C"/>
    <w:rsid w:val="00785490"/>
    <w:rsid w:val="0078740D"/>
    <w:rsid w:val="007901B4"/>
    <w:rsid w:val="007925EA"/>
    <w:rsid w:val="00792EA3"/>
    <w:rsid w:val="00793CD8"/>
    <w:rsid w:val="00795C92"/>
    <w:rsid w:val="00796231"/>
    <w:rsid w:val="00796892"/>
    <w:rsid w:val="00797ACB"/>
    <w:rsid w:val="007A0A8F"/>
    <w:rsid w:val="007A1CB3"/>
    <w:rsid w:val="007A1E44"/>
    <w:rsid w:val="007A306F"/>
    <w:rsid w:val="007A43A6"/>
    <w:rsid w:val="007A58A6"/>
    <w:rsid w:val="007A68B6"/>
    <w:rsid w:val="007A75D9"/>
    <w:rsid w:val="007A7E25"/>
    <w:rsid w:val="007B315E"/>
    <w:rsid w:val="007B3B2E"/>
    <w:rsid w:val="007B3D2D"/>
    <w:rsid w:val="007B50AE"/>
    <w:rsid w:val="007B51DF"/>
    <w:rsid w:val="007B5224"/>
    <w:rsid w:val="007C05DD"/>
    <w:rsid w:val="007C0CC1"/>
    <w:rsid w:val="007C1E10"/>
    <w:rsid w:val="007C25B7"/>
    <w:rsid w:val="007C274C"/>
    <w:rsid w:val="007C3D18"/>
    <w:rsid w:val="007C60BF"/>
    <w:rsid w:val="007C67DF"/>
    <w:rsid w:val="007C6A07"/>
    <w:rsid w:val="007C75A1"/>
    <w:rsid w:val="007C77A5"/>
    <w:rsid w:val="007D0422"/>
    <w:rsid w:val="007D04E5"/>
    <w:rsid w:val="007D5901"/>
    <w:rsid w:val="007D7526"/>
    <w:rsid w:val="007E037D"/>
    <w:rsid w:val="007E4610"/>
    <w:rsid w:val="007E4715"/>
    <w:rsid w:val="007E505B"/>
    <w:rsid w:val="007E7091"/>
    <w:rsid w:val="007E7BF0"/>
    <w:rsid w:val="007F5674"/>
    <w:rsid w:val="007F56DB"/>
    <w:rsid w:val="007F5B02"/>
    <w:rsid w:val="00801D18"/>
    <w:rsid w:val="00802F8A"/>
    <w:rsid w:val="00803FAE"/>
    <w:rsid w:val="0080605F"/>
    <w:rsid w:val="00807786"/>
    <w:rsid w:val="00811FCB"/>
    <w:rsid w:val="008158D6"/>
    <w:rsid w:val="00817196"/>
    <w:rsid w:val="00821855"/>
    <w:rsid w:val="00821AB7"/>
    <w:rsid w:val="008235DB"/>
    <w:rsid w:val="00824718"/>
    <w:rsid w:val="00824AB4"/>
    <w:rsid w:val="00825C42"/>
    <w:rsid w:val="00825D25"/>
    <w:rsid w:val="00827D6F"/>
    <w:rsid w:val="00833194"/>
    <w:rsid w:val="00833657"/>
    <w:rsid w:val="008354DB"/>
    <w:rsid w:val="008376AC"/>
    <w:rsid w:val="0084118A"/>
    <w:rsid w:val="008444E8"/>
    <w:rsid w:val="00844E80"/>
    <w:rsid w:val="008453FE"/>
    <w:rsid w:val="00846FE7"/>
    <w:rsid w:val="008479D9"/>
    <w:rsid w:val="00850CEC"/>
    <w:rsid w:val="00851A28"/>
    <w:rsid w:val="0085613D"/>
    <w:rsid w:val="00856911"/>
    <w:rsid w:val="00857DC3"/>
    <w:rsid w:val="0086449E"/>
    <w:rsid w:val="00865D54"/>
    <w:rsid w:val="008677FD"/>
    <w:rsid w:val="008706D4"/>
    <w:rsid w:val="00870F8A"/>
    <w:rsid w:val="008719A4"/>
    <w:rsid w:val="00871D23"/>
    <w:rsid w:val="00874312"/>
    <w:rsid w:val="0087437C"/>
    <w:rsid w:val="00875CD7"/>
    <w:rsid w:val="00876B4D"/>
    <w:rsid w:val="00877F18"/>
    <w:rsid w:val="00881DA8"/>
    <w:rsid w:val="0088405D"/>
    <w:rsid w:val="00885A05"/>
    <w:rsid w:val="00885B54"/>
    <w:rsid w:val="0088671F"/>
    <w:rsid w:val="00893358"/>
    <w:rsid w:val="00894A88"/>
    <w:rsid w:val="00895386"/>
    <w:rsid w:val="00895BEC"/>
    <w:rsid w:val="00896C1C"/>
    <w:rsid w:val="008A0EB2"/>
    <w:rsid w:val="008A10AD"/>
    <w:rsid w:val="008A21FF"/>
    <w:rsid w:val="008A2CE2"/>
    <w:rsid w:val="008A30AC"/>
    <w:rsid w:val="008A44B8"/>
    <w:rsid w:val="008A51A8"/>
    <w:rsid w:val="008A54C7"/>
    <w:rsid w:val="008A657D"/>
    <w:rsid w:val="008A77D8"/>
    <w:rsid w:val="008B0483"/>
    <w:rsid w:val="008B0B15"/>
    <w:rsid w:val="008B120C"/>
    <w:rsid w:val="008B51A0"/>
    <w:rsid w:val="008B592A"/>
    <w:rsid w:val="008B6E34"/>
    <w:rsid w:val="008B78A6"/>
    <w:rsid w:val="008B7B5C"/>
    <w:rsid w:val="008C0C99"/>
    <w:rsid w:val="008C0F15"/>
    <w:rsid w:val="008C2017"/>
    <w:rsid w:val="008C43A4"/>
    <w:rsid w:val="008C452A"/>
    <w:rsid w:val="008C4958"/>
    <w:rsid w:val="008C4BAA"/>
    <w:rsid w:val="008C6AE8"/>
    <w:rsid w:val="008C7303"/>
    <w:rsid w:val="008C731E"/>
    <w:rsid w:val="008C7573"/>
    <w:rsid w:val="008C77EA"/>
    <w:rsid w:val="008D089A"/>
    <w:rsid w:val="008D0AE1"/>
    <w:rsid w:val="008D1907"/>
    <w:rsid w:val="008D34F1"/>
    <w:rsid w:val="008D39D8"/>
    <w:rsid w:val="008D57A1"/>
    <w:rsid w:val="008D6D1A"/>
    <w:rsid w:val="008E065E"/>
    <w:rsid w:val="008E0927"/>
    <w:rsid w:val="008E1909"/>
    <w:rsid w:val="008E1A1E"/>
    <w:rsid w:val="008E2112"/>
    <w:rsid w:val="008E24C8"/>
    <w:rsid w:val="008E3668"/>
    <w:rsid w:val="008E3D43"/>
    <w:rsid w:val="008E7538"/>
    <w:rsid w:val="008F0528"/>
    <w:rsid w:val="008F0834"/>
    <w:rsid w:val="008F1EAB"/>
    <w:rsid w:val="008F20B4"/>
    <w:rsid w:val="008F323B"/>
    <w:rsid w:val="008F33DC"/>
    <w:rsid w:val="008F4447"/>
    <w:rsid w:val="008F477F"/>
    <w:rsid w:val="008F598B"/>
    <w:rsid w:val="00901053"/>
    <w:rsid w:val="00902350"/>
    <w:rsid w:val="0090336B"/>
    <w:rsid w:val="009053AA"/>
    <w:rsid w:val="00905519"/>
    <w:rsid w:val="00905C61"/>
    <w:rsid w:val="00906939"/>
    <w:rsid w:val="00910B7D"/>
    <w:rsid w:val="00911DFB"/>
    <w:rsid w:val="009139D9"/>
    <w:rsid w:val="00914AD8"/>
    <w:rsid w:val="00914D76"/>
    <w:rsid w:val="00916079"/>
    <w:rsid w:val="00917CE9"/>
    <w:rsid w:val="00920BF2"/>
    <w:rsid w:val="0092192F"/>
    <w:rsid w:val="00921DDC"/>
    <w:rsid w:val="00922010"/>
    <w:rsid w:val="00924C82"/>
    <w:rsid w:val="009259E4"/>
    <w:rsid w:val="009263BF"/>
    <w:rsid w:val="00931BD9"/>
    <w:rsid w:val="00934670"/>
    <w:rsid w:val="009368F3"/>
    <w:rsid w:val="00937FD2"/>
    <w:rsid w:val="00941636"/>
    <w:rsid w:val="00943742"/>
    <w:rsid w:val="00945C05"/>
    <w:rsid w:val="00946945"/>
    <w:rsid w:val="00946F66"/>
    <w:rsid w:val="00947713"/>
    <w:rsid w:val="00950DE7"/>
    <w:rsid w:val="00951558"/>
    <w:rsid w:val="00951F64"/>
    <w:rsid w:val="009523F6"/>
    <w:rsid w:val="00953920"/>
    <w:rsid w:val="00953D47"/>
    <w:rsid w:val="0095681E"/>
    <w:rsid w:val="009572D4"/>
    <w:rsid w:val="00961921"/>
    <w:rsid w:val="0096430A"/>
    <w:rsid w:val="009644C3"/>
    <w:rsid w:val="009651D1"/>
    <w:rsid w:val="0096554B"/>
    <w:rsid w:val="0096584A"/>
    <w:rsid w:val="009667FA"/>
    <w:rsid w:val="00971F08"/>
    <w:rsid w:val="009737CC"/>
    <w:rsid w:val="009742F2"/>
    <w:rsid w:val="0097603D"/>
    <w:rsid w:val="00976949"/>
    <w:rsid w:val="00976E3B"/>
    <w:rsid w:val="00980477"/>
    <w:rsid w:val="00985253"/>
    <w:rsid w:val="009853B3"/>
    <w:rsid w:val="009855D7"/>
    <w:rsid w:val="00990630"/>
    <w:rsid w:val="00991761"/>
    <w:rsid w:val="00991CFB"/>
    <w:rsid w:val="00993AC1"/>
    <w:rsid w:val="00993E53"/>
    <w:rsid w:val="00994DCA"/>
    <w:rsid w:val="00994E9F"/>
    <w:rsid w:val="009960EC"/>
    <w:rsid w:val="00996586"/>
    <w:rsid w:val="009970DD"/>
    <w:rsid w:val="009A0C48"/>
    <w:rsid w:val="009A0FBA"/>
    <w:rsid w:val="009A1601"/>
    <w:rsid w:val="009A3EF5"/>
    <w:rsid w:val="009A462D"/>
    <w:rsid w:val="009A5CBA"/>
    <w:rsid w:val="009A656C"/>
    <w:rsid w:val="009B1F30"/>
    <w:rsid w:val="009B3AC2"/>
    <w:rsid w:val="009B4DF4"/>
    <w:rsid w:val="009B564E"/>
    <w:rsid w:val="009B5BD4"/>
    <w:rsid w:val="009B7E87"/>
    <w:rsid w:val="009C04DF"/>
    <w:rsid w:val="009C403E"/>
    <w:rsid w:val="009C6433"/>
    <w:rsid w:val="009C6867"/>
    <w:rsid w:val="009D0E10"/>
    <w:rsid w:val="009D22FC"/>
    <w:rsid w:val="009D4FF0"/>
    <w:rsid w:val="009D703C"/>
    <w:rsid w:val="009D718F"/>
    <w:rsid w:val="009E068F"/>
    <w:rsid w:val="009E14E0"/>
    <w:rsid w:val="009E33FC"/>
    <w:rsid w:val="009E35DB"/>
    <w:rsid w:val="009E47A3"/>
    <w:rsid w:val="009E4AA8"/>
    <w:rsid w:val="009E703A"/>
    <w:rsid w:val="009E7679"/>
    <w:rsid w:val="009F08F3"/>
    <w:rsid w:val="009F321E"/>
    <w:rsid w:val="009F344F"/>
    <w:rsid w:val="009F6839"/>
    <w:rsid w:val="00A02C19"/>
    <w:rsid w:val="00A048A8"/>
    <w:rsid w:val="00A04F49"/>
    <w:rsid w:val="00A103B2"/>
    <w:rsid w:val="00A13E54"/>
    <w:rsid w:val="00A1474F"/>
    <w:rsid w:val="00A15C41"/>
    <w:rsid w:val="00A17F63"/>
    <w:rsid w:val="00A217DB"/>
    <w:rsid w:val="00A2193B"/>
    <w:rsid w:val="00A2351A"/>
    <w:rsid w:val="00A264A9"/>
    <w:rsid w:val="00A27785"/>
    <w:rsid w:val="00A27E11"/>
    <w:rsid w:val="00A30187"/>
    <w:rsid w:val="00A317BD"/>
    <w:rsid w:val="00A338C0"/>
    <w:rsid w:val="00A3448A"/>
    <w:rsid w:val="00A36297"/>
    <w:rsid w:val="00A3785C"/>
    <w:rsid w:val="00A41E2B"/>
    <w:rsid w:val="00A45B74"/>
    <w:rsid w:val="00A45C64"/>
    <w:rsid w:val="00A46C19"/>
    <w:rsid w:val="00A51A52"/>
    <w:rsid w:val="00A529F0"/>
    <w:rsid w:val="00A52E1D"/>
    <w:rsid w:val="00A5300A"/>
    <w:rsid w:val="00A537F9"/>
    <w:rsid w:val="00A555C7"/>
    <w:rsid w:val="00A6036F"/>
    <w:rsid w:val="00A60B50"/>
    <w:rsid w:val="00A61499"/>
    <w:rsid w:val="00A6152C"/>
    <w:rsid w:val="00A62A77"/>
    <w:rsid w:val="00A63483"/>
    <w:rsid w:val="00A645E1"/>
    <w:rsid w:val="00A657D7"/>
    <w:rsid w:val="00A660AC"/>
    <w:rsid w:val="00A675FB"/>
    <w:rsid w:val="00A67E6C"/>
    <w:rsid w:val="00A70738"/>
    <w:rsid w:val="00A71B99"/>
    <w:rsid w:val="00A72282"/>
    <w:rsid w:val="00A739D0"/>
    <w:rsid w:val="00A761D4"/>
    <w:rsid w:val="00A77EC4"/>
    <w:rsid w:val="00A811B2"/>
    <w:rsid w:val="00A8159F"/>
    <w:rsid w:val="00A92879"/>
    <w:rsid w:val="00A932E0"/>
    <w:rsid w:val="00A9360B"/>
    <w:rsid w:val="00A9442A"/>
    <w:rsid w:val="00A96566"/>
    <w:rsid w:val="00A9707E"/>
    <w:rsid w:val="00AA016F"/>
    <w:rsid w:val="00AA10FE"/>
    <w:rsid w:val="00AA1ED6"/>
    <w:rsid w:val="00AA3BFC"/>
    <w:rsid w:val="00AA51D6"/>
    <w:rsid w:val="00AB07B1"/>
    <w:rsid w:val="00AB0BC8"/>
    <w:rsid w:val="00AB11CA"/>
    <w:rsid w:val="00AB14D9"/>
    <w:rsid w:val="00AB4AB8"/>
    <w:rsid w:val="00AB5E74"/>
    <w:rsid w:val="00AB629A"/>
    <w:rsid w:val="00AB63FE"/>
    <w:rsid w:val="00AB655E"/>
    <w:rsid w:val="00AC007F"/>
    <w:rsid w:val="00AC2ECD"/>
    <w:rsid w:val="00AC3119"/>
    <w:rsid w:val="00AC3C33"/>
    <w:rsid w:val="00AC49FB"/>
    <w:rsid w:val="00AC5A10"/>
    <w:rsid w:val="00AC6BCE"/>
    <w:rsid w:val="00AC7DFB"/>
    <w:rsid w:val="00AD0AA3"/>
    <w:rsid w:val="00AD0E0F"/>
    <w:rsid w:val="00AD3F94"/>
    <w:rsid w:val="00AD46FB"/>
    <w:rsid w:val="00AD4A5A"/>
    <w:rsid w:val="00AD5CA1"/>
    <w:rsid w:val="00AE27AC"/>
    <w:rsid w:val="00AE3757"/>
    <w:rsid w:val="00AE40E0"/>
    <w:rsid w:val="00AE43AD"/>
    <w:rsid w:val="00AE4DBA"/>
    <w:rsid w:val="00AE4F07"/>
    <w:rsid w:val="00AE6E4A"/>
    <w:rsid w:val="00AF1C5D"/>
    <w:rsid w:val="00AF3CD1"/>
    <w:rsid w:val="00AF42D7"/>
    <w:rsid w:val="00AF66CA"/>
    <w:rsid w:val="00B006FE"/>
    <w:rsid w:val="00B007CB"/>
    <w:rsid w:val="00B02AA9"/>
    <w:rsid w:val="00B02FA3"/>
    <w:rsid w:val="00B04833"/>
    <w:rsid w:val="00B05084"/>
    <w:rsid w:val="00B06FF0"/>
    <w:rsid w:val="00B1122E"/>
    <w:rsid w:val="00B157B9"/>
    <w:rsid w:val="00B157F9"/>
    <w:rsid w:val="00B167F1"/>
    <w:rsid w:val="00B20256"/>
    <w:rsid w:val="00B20D09"/>
    <w:rsid w:val="00B2763F"/>
    <w:rsid w:val="00B2782B"/>
    <w:rsid w:val="00B27AAC"/>
    <w:rsid w:val="00B30929"/>
    <w:rsid w:val="00B3329B"/>
    <w:rsid w:val="00B33878"/>
    <w:rsid w:val="00B372AA"/>
    <w:rsid w:val="00B37FE0"/>
    <w:rsid w:val="00B40445"/>
    <w:rsid w:val="00B415B4"/>
    <w:rsid w:val="00B41888"/>
    <w:rsid w:val="00B42777"/>
    <w:rsid w:val="00B45A52"/>
    <w:rsid w:val="00B46175"/>
    <w:rsid w:val="00B505D1"/>
    <w:rsid w:val="00B55886"/>
    <w:rsid w:val="00B60A44"/>
    <w:rsid w:val="00B616C5"/>
    <w:rsid w:val="00B62AAA"/>
    <w:rsid w:val="00B653D8"/>
    <w:rsid w:val="00B664C7"/>
    <w:rsid w:val="00B6678F"/>
    <w:rsid w:val="00B716BA"/>
    <w:rsid w:val="00B739F6"/>
    <w:rsid w:val="00B74AC0"/>
    <w:rsid w:val="00B77E93"/>
    <w:rsid w:val="00B803B5"/>
    <w:rsid w:val="00B819D2"/>
    <w:rsid w:val="00B81A6C"/>
    <w:rsid w:val="00B82D4B"/>
    <w:rsid w:val="00B85DE5"/>
    <w:rsid w:val="00B87046"/>
    <w:rsid w:val="00B90291"/>
    <w:rsid w:val="00B904C9"/>
    <w:rsid w:val="00B906ED"/>
    <w:rsid w:val="00B9093E"/>
    <w:rsid w:val="00B90F73"/>
    <w:rsid w:val="00B92810"/>
    <w:rsid w:val="00B93B59"/>
    <w:rsid w:val="00B9406A"/>
    <w:rsid w:val="00B943BD"/>
    <w:rsid w:val="00B97969"/>
    <w:rsid w:val="00BA048E"/>
    <w:rsid w:val="00BA2280"/>
    <w:rsid w:val="00BA2A08"/>
    <w:rsid w:val="00BA56D2"/>
    <w:rsid w:val="00BA76E0"/>
    <w:rsid w:val="00BA781C"/>
    <w:rsid w:val="00BB2A25"/>
    <w:rsid w:val="00BB51E9"/>
    <w:rsid w:val="00BC0FDC"/>
    <w:rsid w:val="00BC21F5"/>
    <w:rsid w:val="00BC3053"/>
    <w:rsid w:val="00BC4D2E"/>
    <w:rsid w:val="00BC5C11"/>
    <w:rsid w:val="00BD3678"/>
    <w:rsid w:val="00BD48A2"/>
    <w:rsid w:val="00BD48AC"/>
    <w:rsid w:val="00BD5F1A"/>
    <w:rsid w:val="00BE00FF"/>
    <w:rsid w:val="00BE02C2"/>
    <w:rsid w:val="00BE058C"/>
    <w:rsid w:val="00BE1234"/>
    <w:rsid w:val="00BE18D1"/>
    <w:rsid w:val="00BE2BAF"/>
    <w:rsid w:val="00BE2FA6"/>
    <w:rsid w:val="00BE333F"/>
    <w:rsid w:val="00BE5C7A"/>
    <w:rsid w:val="00BE7406"/>
    <w:rsid w:val="00BE7603"/>
    <w:rsid w:val="00BF0D1E"/>
    <w:rsid w:val="00BF31F3"/>
    <w:rsid w:val="00BF3279"/>
    <w:rsid w:val="00BF7030"/>
    <w:rsid w:val="00BF74C7"/>
    <w:rsid w:val="00BF7AAD"/>
    <w:rsid w:val="00C015F1"/>
    <w:rsid w:val="00C01C6A"/>
    <w:rsid w:val="00C01F33"/>
    <w:rsid w:val="00C02CC6"/>
    <w:rsid w:val="00C03207"/>
    <w:rsid w:val="00C040F7"/>
    <w:rsid w:val="00C041B0"/>
    <w:rsid w:val="00C044AB"/>
    <w:rsid w:val="00C05706"/>
    <w:rsid w:val="00C07377"/>
    <w:rsid w:val="00C07BC2"/>
    <w:rsid w:val="00C10478"/>
    <w:rsid w:val="00C12107"/>
    <w:rsid w:val="00C12B3C"/>
    <w:rsid w:val="00C14D4B"/>
    <w:rsid w:val="00C154BB"/>
    <w:rsid w:val="00C17098"/>
    <w:rsid w:val="00C25B09"/>
    <w:rsid w:val="00C25B5F"/>
    <w:rsid w:val="00C279B5"/>
    <w:rsid w:val="00C27C45"/>
    <w:rsid w:val="00C31603"/>
    <w:rsid w:val="00C32440"/>
    <w:rsid w:val="00C331F2"/>
    <w:rsid w:val="00C3719D"/>
    <w:rsid w:val="00C437FE"/>
    <w:rsid w:val="00C44421"/>
    <w:rsid w:val="00C459AB"/>
    <w:rsid w:val="00C50281"/>
    <w:rsid w:val="00C526CF"/>
    <w:rsid w:val="00C54995"/>
    <w:rsid w:val="00C54D41"/>
    <w:rsid w:val="00C5588E"/>
    <w:rsid w:val="00C60783"/>
    <w:rsid w:val="00C608B6"/>
    <w:rsid w:val="00C64672"/>
    <w:rsid w:val="00C657B5"/>
    <w:rsid w:val="00C67DB0"/>
    <w:rsid w:val="00C70697"/>
    <w:rsid w:val="00C718A3"/>
    <w:rsid w:val="00C7284C"/>
    <w:rsid w:val="00C72EF4"/>
    <w:rsid w:val="00C743BB"/>
    <w:rsid w:val="00C75D2F"/>
    <w:rsid w:val="00C75EE0"/>
    <w:rsid w:val="00C767BE"/>
    <w:rsid w:val="00C76963"/>
    <w:rsid w:val="00C76E3C"/>
    <w:rsid w:val="00C77496"/>
    <w:rsid w:val="00C77F5E"/>
    <w:rsid w:val="00C81568"/>
    <w:rsid w:val="00C81F3E"/>
    <w:rsid w:val="00C8504F"/>
    <w:rsid w:val="00C9027A"/>
    <w:rsid w:val="00C9068E"/>
    <w:rsid w:val="00C91251"/>
    <w:rsid w:val="00C928A5"/>
    <w:rsid w:val="00C93C4B"/>
    <w:rsid w:val="00C944AB"/>
    <w:rsid w:val="00C95B40"/>
    <w:rsid w:val="00C962FD"/>
    <w:rsid w:val="00C96639"/>
    <w:rsid w:val="00CA0D23"/>
    <w:rsid w:val="00CA1ED8"/>
    <w:rsid w:val="00CA2C50"/>
    <w:rsid w:val="00CA3280"/>
    <w:rsid w:val="00CA5FB0"/>
    <w:rsid w:val="00CB1F63"/>
    <w:rsid w:val="00CB2B23"/>
    <w:rsid w:val="00CB2DD3"/>
    <w:rsid w:val="00CB7170"/>
    <w:rsid w:val="00CC040E"/>
    <w:rsid w:val="00CC111F"/>
    <w:rsid w:val="00CC2011"/>
    <w:rsid w:val="00CC2660"/>
    <w:rsid w:val="00CC2CD5"/>
    <w:rsid w:val="00CC3EA0"/>
    <w:rsid w:val="00CC7B45"/>
    <w:rsid w:val="00CD1188"/>
    <w:rsid w:val="00CD2485"/>
    <w:rsid w:val="00CD2ED1"/>
    <w:rsid w:val="00CD337B"/>
    <w:rsid w:val="00CD52F9"/>
    <w:rsid w:val="00CD5CC1"/>
    <w:rsid w:val="00CD68C2"/>
    <w:rsid w:val="00CD73AE"/>
    <w:rsid w:val="00CE0424"/>
    <w:rsid w:val="00CE21F6"/>
    <w:rsid w:val="00CE426E"/>
    <w:rsid w:val="00CE4843"/>
    <w:rsid w:val="00CE4A19"/>
    <w:rsid w:val="00CE5580"/>
    <w:rsid w:val="00CE574B"/>
    <w:rsid w:val="00CE7561"/>
    <w:rsid w:val="00CE7657"/>
    <w:rsid w:val="00CF1354"/>
    <w:rsid w:val="00CF1FA6"/>
    <w:rsid w:val="00CF3B1F"/>
    <w:rsid w:val="00CF3BF6"/>
    <w:rsid w:val="00CF5C4E"/>
    <w:rsid w:val="00CF625B"/>
    <w:rsid w:val="00CF6341"/>
    <w:rsid w:val="00CF687E"/>
    <w:rsid w:val="00D00CDF"/>
    <w:rsid w:val="00D02014"/>
    <w:rsid w:val="00D0349B"/>
    <w:rsid w:val="00D04434"/>
    <w:rsid w:val="00D06645"/>
    <w:rsid w:val="00D07C12"/>
    <w:rsid w:val="00D10249"/>
    <w:rsid w:val="00D10C29"/>
    <w:rsid w:val="00D115C3"/>
    <w:rsid w:val="00D11897"/>
    <w:rsid w:val="00D11A21"/>
    <w:rsid w:val="00D13135"/>
    <w:rsid w:val="00D13E4E"/>
    <w:rsid w:val="00D142BC"/>
    <w:rsid w:val="00D239A7"/>
    <w:rsid w:val="00D23F47"/>
    <w:rsid w:val="00D2672B"/>
    <w:rsid w:val="00D3005B"/>
    <w:rsid w:val="00D30297"/>
    <w:rsid w:val="00D31227"/>
    <w:rsid w:val="00D31C65"/>
    <w:rsid w:val="00D33E03"/>
    <w:rsid w:val="00D349C5"/>
    <w:rsid w:val="00D350F3"/>
    <w:rsid w:val="00D36E71"/>
    <w:rsid w:val="00D37D87"/>
    <w:rsid w:val="00D40B33"/>
    <w:rsid w:val="00D416A4"/>
    <w:rsid w:val="00D41C1C"/>
    <w:rsid w:val="00D42505"/>
    <w:rsid w:val="00D4318F"/>
    <w:rsid w:val="00D43646"/>
    <w:rsid w:val="00D438BF"/>
    <w:rsid w:val="00D440F8"/>
    <w:rsid w:val="00D53400"/>
    <w:rsid w:val="00D538CD"/>
    <w:rsid w:val="00D546FF"/>
    <w:rsid w:val="00D55AD5"/>
    <w:rsid w:val="00D5641C"/>
    <w:rsid w:val="00D573DB"/>
    <w:rsid w:val="00D576CA"/>
    <w:rsid w:val="00D57AEA"/>
    <w:rsid w:val="00D60E13"/>
    <w:rsid w:val="00D61AF5"/>
    <w:rsid w:val="00D625D4"/>
    <w:rsid w:val="00D62CD5"/>
    <w:rsid w:val="00D6435F"/>
    <w:rsid w:val="00D652B5"/>
    <w:rsid w:val="00D66155"/>
    <w:rsid w:val="00D708B0"/>
    <w:rsid w:val="00D71A4E"/>
    <w:rsid w:val="00D755CC"/>
    <w:rsid w:val="00D75B4F"/>
    <w:rsid w:val="00D77B1D"/>
    <w:rsid w:val="00D8021F"/>
    <w:rsid w:val="00D80383"/>
    <w:rsid w:val="00D81633"/>
    <w:rsid w:val="00D823C6"/>
    <w:rsid w:val="00D8386B"/>
    <w:rsid w:val="00D85B16"/>
    <w:rsid w:val="00D86CA3"/>
    <w:rsid w:val="00D87049"/>
    <w:rsid w:val="00D871CE"/>
    <w:rsid w:val="00D87270"/>
    <w:rsid w:val="00D9031D"/>
    <w:rsid w:val="00D9196D"/>
    <w:rsid w:val="00D9253C"/>
    <w:rsid w:val="00D92982"/>
    <w:rsid w:val="00D94243"/>
    <w:rsid w:val="00D97786"/>
    <w:rsid w:val="00DA1F6E"/>
    <w:rsid w:val="00DA305E"/>
    <w:rsid w:val="00DA5007"/>
    <w:rsid w:val="00DA5417"/>
    <w:rsid w:val="00DA56E8"/>
    <w:rsid w:val="00DB0534"/>
    <w:rsid w:val="00DB0A9F"/>
    <w:rsid w:val="00DB12CA"/>
    <w:rsid w:val="00DB1E0D"/>
    <w:rsid w:val="00DB21CF"/>
    <w:rsid w:val="00DB377D"/>
    <w:rsid w:val="00DC062C"/>
    <w:rsid w:val="00DC24A1"/>
    <w:rsid w:val="00DC2D36"/>
    <w:rsid w:val="00DC4E15"/>
    <w:rsid w:val="00DC53EF"/>
    <w:rsid w:val="00DC58F7"/>
    <w:rsid w:val="00DD31FD"/>
    <w:rsid w:val="00DE2813"/>
    <w:rsid w:val="00DE31A8"/>
    <w:rsid w:val="00DE5608"/>
    <w:rsid w:val="00DE58D0"/>
    <w:rsid w:val="00DE5FFC"/>
    <w:rsid w:val="00DE654F"/>
    <w:rsid w:val="00DE6E02"/>
    <w:rsid w:val="00DE70F6"/>
    <w:rsid w:val="00DF0B6E"/>
    <w:rsid w:val="00DF15E0"/>
    <w:rsid w:val="00DF2875"/>
    <w:rsid w:val="00DF37A0"/>
    <w:rsid w:val="00DF7BF9"/>
    <w:rsid w:val="00E00B70"/>
    <w:rsid w:val="00E00FD5"/>
    <w:rsid w:val="00E0431A"/>
    <w:rsid w:val="00E044D6"/>
    <w:rsid w:val="00E05483"/>
    <w:rsid w:val="00E110E7"/>
    <w:rsid w:val="00E114C3"/>
    <w:rsid w:val="00E11B20"/>
    <w:rsid w:val="00E12D5A"/>
    <w:rsid w:val="00E1399F"/>
    <w:rsid w:val="00E17FA2"/>
    <w:rsid w:val="00E203F9"/>
    <w:rsid w:val="00E20ADA"/>
    <w:rsid w:val="00E21F7F"/>
    <w:rsid w:val="00E22330"/>
    <w:rsid w:val="00E23150"/>
    <w:rsid w:val="00E244B5"/>
    <w:rsid w:val="00E25B19"/>
    <w:rsid w:val="00E2778A"/>
    <w:rsid w:val="00E27832"/>
    <w:rsid w:val="00E30675"/>
    <w:rsid w:val="00E30B5A"/>
    <w:rsid w:val="00E3123D"/>
    <w:rsid w:val="00E31461"/>
    <w:rsid w:val="00E31889"/>
    <w:rsid w:val="00E31D43"/>
    <w:rsid w:val="00E32608"/>
    <w:rsid w:val="00E337E6"/>
    <w:rsid w:val="00E34188"/>
    <w:rsid w:val="00E345CD"/>
    <w:rsid w:val="00E34B6E"/>
    <w:rsid w:val="00E35559"/>
    <w:rsid w:val="00E36B77"/>
    <w:rsid w:val="00E3723A"/>
    <w:rsid w:val="00E37860"/>
    <w:rsid w:val="00E42837"/>
    <w:rsid w:val="00E435D0"/>
    <w:rsid w:val="00E446F1"/>
    <w:rsid w:val="00E46886"/>
    <w:rsid w:val="00E47AEF"/>
    <w:rsid w:val="00E50758"/>
    <w:rsid w:val="00E53314"/>
    <w:rsid w:val="00E534AC"/>
    <w:rsid w:val="00E53B75"/>
    <w:rsid w:val="00E54C99"/>
    <w:rsid w:val="00E54D7D"/>
    <w:rsid w:val="00E54E3B"/>
    <w:rsid w:val="00E553FB"/>
    <w:rsid w:val="00E57565"/>
    <w:rsid w:val="00E575D1"/>
    <w:rsid w:val="00E612D5"/>
    <w:rsid w:val="00E628B9"/>
    <w:rsid w:val="00E63838"/>
    <w:rsid w:val="00E64434"/>
    <w:rsid w:val="00E64FAB"/>
    <w:rsid w:val="00E652B8"/>
    <w:rsid w:val="00E65346"/>
    <w:rsid w:val="00E66EA2"/>
    <w:rsid w:val="00E67AF8"/>
    <w:rsid w:val="00E67C51"/>
    <w:rsid w:val="00E70679"/>
    <w:rsid w:val="00E7169E"/>
    <w:rsid w:val="00E71AA1"/>
    <w:rsid w:val="00E729BB"/>
    <w:rsid w:val="00E72EFC"/>
    <w:rsid w:val="00E74883"/>
    <w:rsid w:val="00E758EC"/>
    <w:rsid w:val="00E80307"/>
    <w:rsid w:val="00E80EB7"/>
    <w:rsid w:val="00E8234C"/>
    <w:rsid w:val="00E825C9"/>
    <w:rsid w:val="00E83AA9"/>
    <w:rsid w:val="00E85639"/>
    <w:rsid w:val="00E85928"/>
    <w:rsid w:val="00E86AAF"/>
    <w:rsid w:val="00E87822"/>
    <w:rsid w:val="00E90395"/>
    <w:rsid w:val="00E90E49"/>
    <w:rsid w:val="00E917F9"/>
    <w:rsid w:val="00E9291C"/>
    <w:rsid w:val="00E93FFE"/>
    <w:rsid w:val="00E94F8A"/>
    <w:rsid w:val="00E9561F"/>
    <w:rsid w:val="00EA09CF"/>
    <w:rsid w:val="00EA0DC4"/>
    <w:rsid w:val="00EA32D7"/>
    <w:rsid w:val="00EA3C71"/>
    <w:rsid w:val="00EA3FF5"/>
    <w:rsid w:val="00EA53C7"/>
    <w:rsid w:val="00EA5E0E"/>
    <w:rsid w:val="00EA7A41"/>
    <w:rsid w:val="00EA7BF8"/>
    <w:rsid w:val="00EB077B"/>
    <w:rsid w:val="00EB143F"/>
    <w:rsid w:val="00EB23A6"/>
    <w:rsid w:val="00EB4196"/>
    <w:rsid w:val="00EB4EA2"/>
    <w:rsid w:val="00EB501F"/>
    <w:rsid w:val="00EB52A3"/>
    <w:rsid w:val="00EB5D9C"/>
    <w:rsid w:val="00EB70B3"/>
    <w:rsid w:val="00EC27C6"/>
    <w:rsid w:val="00EC2CF7"/>
    <w:rsid w:val="00EC4207"/>
    <w:rsid w:val="00EC5653"/>
    <w:rsid w:val="00EC60B5"/>
    <w:rsid w:val="00EC71CE"/>
    <w:rsid w:val="00ED1006"/>
    <w:rsid w:val="00ED1D68"/>
    <w:rsid w:val="00EE1FB1"/>
    <w:rsid w:val="00EE2D55"/>
    <w:rsid w:val="00EE6825"/>
    <w:rsid w:val="00EF18FE"/>
    <w:rsid w:val="00EF5787"/>
    <w:rsid w:val="00EF60D0"/>
    <w:rsid w:val="00EF6CB7"/>
    <w:rsid w:val="00F02BC2"/>
    <w:rsid w:val="00F03D5E"/>
    <w:rsid w:val="00F0528D"/>
    <w:rsid w:val="00F05CB8"/>
    <w:rsid w:val="00F06850"/>
    <w:rsid w:val="00F06C67"/>
    <w:rsid w:val="00F06DFD"/>
    <w:rsid w:val="00F071D1"/>
    <w:rsid w:val="00F07533"/>
    <w:rsid w:val="00F10276"/>
    <w:rsid w:val="00F10629"/>
    <w:rsid w:val="00F11000"/>
    <w:rsid w:val="00F12182"/>
    <w:rsid w:val="00F1483C"/>
    <w:rsid w:val="00F15385"/>
    <w:rsid w:val="00F159D3"/>
    <w:rsid w:val="00F15FA5"/>
    <w:rsid w:val="00F209B7"/>
    <w:rsid w:val="00F228F9"/>
    <w:rsid w:val="00F2376F"/>
    <w:rsid w:val="00F243D8"/>
    <w:rsid w:val="00F26B6B"/>
    <w:rsid w:val="00F27FC5"/>
    <w:rsid w:val="00F30828"/>
    <w:rsid w:val="00F312AC"/>
    <w:rsid w:val="00F313D6"/>
    <w:rsid w:val="00F3231D"/>
    <w:rsid w:val="00F32D77"/>
    <w:rsid w:val="00F337B3"/>
    <w:rsid w:val="00F34213"/>
    <w:rsid w:val="00F40F0C"/>
    <w:rsid w:val="00F44042"/>
    <w:rsid w:val="00F4766C"/>
    <w:rsid w:val="00F507D1"/>
    <w:rsid w:val="00F519CE"/>
    <w:rsid w:val="00F51ADA"/>
    <w:rsid w:val="00F607C5"/>
    <w:rsid w:val="00F60DEA"/>
    <w:rsid w:val="00F6259B"/>
    <w:rsid w:val="00F6302A"/>
    <w:rsid w:val="00F6411A"/>
    <w:rsid w:val="00F64C2B"/>
    <w:rsid w:val="00F651BE"/>
    <w:rsid w:val="00F660C1"/>
    <w:rsid w:val="00F67F53"/>
    <w:rsid w:val="00F703BE"/>
    <w:rsid w:val="00F71F69"/>
    <w:rsid w:val="00F72B72"/>
    <w:rsid w:val="00F744D9"/>
    <w:rsid w:val="00F74BB9"/>
    <w:rsid w:val="00F75582"/>
    <w:rsid w:val="00F75A7F"/>
    <w:rsid w:val="00F76327"/>
    <w:rsid w:val="00F76EFA"/>
    <w:rsid w:val="00F804BE"/>
    <w:rsid w:val="00F817CE"/>
    <w:rsid w:val="00F82A13"/>
    <w:rsid w:val="00F83DA8"/>
    <w:rsid w:val="00F8456C"/>
    <w:rsid w:val="00F84DB9"/>
    <w:rsid w:val="00F859D8"/>
    <w:rsid w:val="00F868F5"/>
    <w:rsid w:val="00F9056A"/>
    <w:rsid w:val="00F90F8D"/>
    <w:rsid w:val="00F91C9F"/>
    <w:rsid w:val="00F92625"/>
    <w:rsid w:val="00F92782"/>
    <w:rsid w:val="00F93AA9"/>
    <w:rsid w:val="00F93BD6"/>
    <w:rsid w:val="00F96985"/>
    <w:rsid w:val="00F97838"/>
    <w:rsid w:val="00FA220E"/>
    <w:rsid w:val="00FA2BB3"/>
    <w:rsid w:val="00FA37D9"/>
    <w:rsid w:val="00FB07A3"/>
    <w:rsid w:val="00FB08EF"/>
    <w:rsid w:val="00FB1B6E"/>
    <w:rsid w:val="00FB4C80"/>
    <w:rsid w:val="00FB639A"/>
    <w:rsid w:val="00FB6A6A"/>
    <w:rsid w:val="00FB73EF"/>
    <w:rsid w:val="00FC220F"/>
    <w:rsid w:val="00FC2FE6"/>
    <w:rsid w:val="00FC364E"/>
    <w:rsid w:val="00FC4AD0"/>
    <w:rsid w:val="00FC7429"/>
    <w:rsid w:val="00FD07F6"/>
    <w:rsid w:val="00FD0E82"/>
    <w:rsid w:val="00FD1334"/>
    <w:rsid w:val="00FD1EC8"/>
    <w:rsid w:val="00FD2733"/>
    <w:rsid w:val="00FD3B02"/>
    <w:rsid w:val="00FD3EA8"/>
    <w:rsid w:val="00FD3FB3"/>
    <w:rsid w:val="00FD47ED"/>
    <w:rsid w:val="00FD74DB"/>
    <w:rsid w:val="00FD7660"/>
    <w:rsid w:val="00FE0655"/>
    <w:rsid w:val="00FE1285"/>
    <w:rsid w:val="00FE2365"/>
    <w:rsid w:val="00FE4C7B"/>
    <w:rsid w:val="00FE6100"/>
    <w:rsid w:val="00FE7336"/>
    <w:rsid w:val="00FE74C6"/>
    <w:rsid w:val="00FE787C"/>
    <w:rsid w:val="00FF45A5"/>
    <w:rsid w:val="00FF5BB9"/>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v:textbox inset="5.85pt,.7pt,5.85pt,.7pt"/>
    </o:shapedefaults>
    <o:shapelayout v:ext="edit">
      <o:idmap v:ext="edit" data="1"/>
    </o:shapelayout>
  </w:shapeDefaults>
  <w:decimalSymbol w:val=","/>
  <w:listSeparator w:val=";"/>
  <w14:docId w14:val="303CFCA7"/>
  <w15:docId w15:val="{F3F27E58-59DC-4550-A1CA-7CB402766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657B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C657B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C657B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C657B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C657B5"/>
    <w:pPr>
      <w:numPr>
        <w:ilvl w:val="3"/>
      </w:numPr>
      <w:outlineLvl w:val="3"/>
    </w:pPr>
    <w:rPr>
      <w:sz w:val="24"/>
      <w:szCs w:val="24"/>
    </w:rPr>
  </w:style>
  <w:style w:type="paragraph" w:styleId="Heading5">
    <w:name w:val="heading 5"/>
    <w:basedOn w:val="Heading4"/>
    <w:next w:val="Normal"/>
    <w:qFormat/>
    <w:rsid w:val="00C657B5"/>
    <w:pPr>
      <w:numPr>
        <w:ilvl w:val="4"/>
      </w:numPr>
      <w:outlineLvl w:val="4"/>
    </w:pPr>
    <w:rPr>
      <w:sz w:val="22"/>
      <w:szCs w:val="22"/>
    </w:rPr>
  </w:style>
  <w:style w:type="paragraph" w:styleId="Heading6">
    <w:name w:val="heading 6"/>
    <w:basedOn w:val="Normal"/>
    <w:next w:val="Normal"/>
    <w:qFormat/>
    <w:rsid w:val="00C657B5"/>
    <w:pPr>
      <w:keepNext/>
      <w:keepLines/>
      <w:numPr>
        <w:ilvl w:val="5"/>
        <w:numId w:val="1"/>
      </w:numPr>
      <w:spacing w:before="120"/>
      <w:outlineLvl w:val="5"/>
    </w:pPr>
    <w:rPr>
      <w:rFonts w:cs="Arial"/>
    </w:rPr>
  </w:style>
  <w:style w:type="paragraph" w:styleId="Heading7">
    <w:name w:val="heading 7"/>
    <w:basedOn w:val="Normal"/>
    <w:next w:val="Normal"/>
    <w:qFormat/>
    <w:rsid w:val="00C657B5"/>
    <w:pPr>
      <w:keepNext/>
      <w:keepLines/>
      <w:numPr>
        <w:ilvl w:val="6"/>
        <w:numId w:val="1"/>
      </w:numPr>
      <w:spacing w:before="120"/>
      <w:outlineLvl w:val="6"/>
    </w:pPr>
    <w:rPr>
      <w:rFonts w:cs="Arial"/>
    </w:rPr>
  </w:style>
  <w:style w:type="paragraph" w:styleId="Heading8">
    <w:name w:val="heading 8"/>
    <w:basedOn w:val="Heading7"/>
    <w:next w:val="Normal"/>
    <w:qFormat/>
    <w:rsid w:val="00C657B5"/>
    <w:pPr>
      <w:numPr>
        <w:ilvl w:val="7"/>
      </w:numPr>
      <w:outlineLvl w:val="7"/>
    </w:pPr>
  </w:style>
  <w:style w:type="paragraph" w:styleId="Heading9">
    <w:name w:val="heading 9"/>
    <w:basedOn w:val="Heading8"/>
    <w:next w:val="Normal"/>
    <w:qFormat/>
    <w:rsid w:val="00C657B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657B5"/>
    <w:pPr>
      <w:spacing w:before="180"/>
      <w:ind w:left="2693" w:hanging="2693"/>
    </w:pPr>
    <w:rPr>
      <w:b w:val="0"/>
      <w:bCs/>
    </w:rPr>
  </w:style>
  <w:style w:type="paragraph" w:styleId="TOC1">
    <w:name w:val="toc 1"/>
    <w:aliases w:val="Observation TOC2"/>
    <w:uiPriority w:val="39"/>
    <w:rsid w:val="00C657B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C657B5"/>
    <w:pPr>
      <w:keepNext/>
      <w:keepLines/>
      <w:spacing w:before="180"/>
      <w:jc w:val="center"/>
    </w:pPr>
  </w:style>
  <w:style w:type="paragraph" w:styleId="Caption">
    <w:name w:val="caption"/>
    <w:basedOn w:val="Normal"/>
    <w:next w:val="Normal"/>
    <w:qFormat/>
    <w:rsid w:val="00C657B5"/>
    <w:pPr>
      <w:spacing w:after="240"/>
      <w:jc w:val="center"/>
    </w:pPr>
    <w:rPr>
      <w:b/>
      <w:bCs/>
    </w:rPr>
  </w:style>
  <w:style w:type="paragraph" w:styleId="TOC5">
    <w:name w:val="toc 5"/>
    <w:aliases w:val="Observation TOC"/>
    <w:basedOn w:val="TOC4"/>
    <w:semiHidden/>
    <w:rsid w:val="00C657B5"/>
    <w:pPr>
      <w:tabs>
        <w:tab w:val="right" w:pos="1701"/>
      </w:tabs>
      <w:ind w:left="1701" w:hanging="1701"/>
    </w:pPr>
  </w:style>
  <w:style w:type="paragraph" w:styleId="TOC4">
    <w:name w:val="toc 4"/>
    <w:basedOn w:val="TOC3"/>
    <w:semiHidden/>
    <w:rsid w:val="00C657B5"/>
    <w:pPr>
      <w:ind w:left="1418" w:hanging="1418"/>
    </w:pPr>
  </w:style>
  <w:style w:type="paragraph" w:styleId="TOC3">
    <w:name w:val="toc 3"/>
    <w:basedOn w:val="TOC2"/>
    <w:semiHidden/>
    <w:rsid w:val="00C657B5"/>
    <w:pPr>
      <w:ind w:left="1134" w:hanging="1134"/>
    </w:pPr>
  </w:style>
  <w:style w:type="paragraph" w:styleId="TOC2">
    <w:name w:val="toc 2"/>
    <w:basedOn w:val="TOC1"/>
    <w:semiHidden/>
    <w:rsid w:val="00C657B5"/>
    <w:pPr>
      <w:keepNext w:val="0"/>
      <w:spacing w:before="0"/>
      <w:ind w:left="851" w:hanging="851"/>
    </w:pPr>
    <w:rPr>
      <w:szCs w:val="20"/>
    </w:rPr>
  </w:style>
  <w:style w:type="paragraph" w:styleId="Index2">
    <w:name w:val="index 2"/>
    <w:basedOn w:val="Index1"/>
    <w:semiHidden/>
    <w:rsid w:val="00C657B5"/>
    <w:pPr>
      <w:ind w:left="284"/>
    </w:pPr>
  </w:style>
  <w:style w:type="paragraph" w:styleId="Index1">
    <w:name w:val="index 1"/>
    <w:basedOn w:val="Normal"/>
    <w:semiHidden/>
    <w:rsid w:val="00C657B5"/>
    <w:pPr>
      <w:keepLines/>
      <w:spacing w:after="0"/>
    </w:pPr>
  </w:style>
  <w:style w:type="paragraph" w:styleId="DocumentMap">
    <w:name w:val="Document Map"/>
    <w:basedOn w:val="Normal"/>
    <w:semiHidden/>
    <w:rsid w:val="00C657B5"/>
    <w:pPr>
      <w:shd w:val="clear" w:color="auto" w:fill="000080"/>
    </w:pPr>
    <w:rPr>
      <w:rFonts w:ascii="Tahoma" w:hAnsi="Tahoma" w:cs="Tahoma"/>
    </w:rPr>
  </w:style>
  <w:style w:type="paragraph" w:styleId="ListNumber2">
    <w:name w:val="List Number 2"/>
    <w:basedOn w:val="ListNumber"/>
    <w:rsid w:val="00C657B5"/>
    <w:pPr>
      <w:ind w:left="851"/>
    </w:pPr>
  </w:style>
  <w:style w:type="paragraph" w:styleId="ListNumber">
    <w:name w:val="List Number"/>
    <w:basedOn w:val="List"/>
    <w:rsid w:val="00C657B5"/>
  </w:style>
  <w:style w:type="paragraph" w:styleId="List">
    <w:name w:val="List"/>
    <w:basedOn w:val="Normal"/>
    <w:rsid w:val="00C657B5"/>
    <w:pPr>
      <w:ind w:left="568" w:hanging="284"/>
    </w:pPr>
  </w:style>
  <w:style w:type="paragraph" w:styleId="Header">
    <w:name w:val="header"/>
    <w:rsid w:val="00C657B5"/>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C657B5"/>
    <w:rPr>
      <w:b/>
      <w:bCs/>
      <w:position w:val="6"/>
      <w:sz w:val="16"/>
      <w:szCs w:val="16"/>
    </w:rPr>
  </w:style>
  <w:style w:type="paragraph" w:styleId="FootnoteText">
    <w:name w:val="footnote text"/>
    <w:basedOn w:val="Normal"/>
    <w:semiHidden/>
    <w:rsid w:val="00C657B5"/>
    <w:pPr>
      <w:keepLines/>
      <w:spacing w:after="0"/>
      <w:ind w:left="454" w:hanging="454"/>
    </w:pPr>
    <w:rPr>
      <w:sz w:val="16"/>
      <w:szCs w:val="16"/>
    </w:rPr>
  </w:style>
  <w:style w:type="paragraph" w:customStyle="1" w:styleId="3GPPHeader">
    <w:name w:val="3GPP_Header"/>
    <w:basedOn w:val="Normal"/>
    <w:rsid w:val="00C657B5"/>
    <w:pPr>
      <w:tabs>
        <w:tab w:val="left" w:pos="1701"/>
        <w:tab w:val="right" w:pos="9639"/>
      </w:tabs>
      <w:spacing w:after="240"/>
    </w:pPr>
    <w:rPr>
      <w:b/>
      <w:sz w:val="24"/>
    </w:rPr>
  </w:style>
  <w:style w:type="paragraph" w:styleId="TOC9">
    <w:name w:val="toc 9"/>
    <w:basedOn w:val="TOC8"/>
    <w:semiHidden/>
    <w:rsid w:val="00C657B5"/>
    <w:pPr>
      <w:ind w:left="1418" w:hanging="1418"/>
    </w:pPr>
  </w:style>
  <w:style w:type="paragraph" w:styleId="TOC6">
    <w:name w:val="toc 6"/>
    <w:basedOn w:val="TOC5"/>
    <w:next w:val="Normal"/>
    <w:semiHidden/>
    <w:rsid w:val="00C657B5"/>
    <w:pPr>
      <w:ind w:left="1985" w:hanging="1985"/>
    </w:pPr>
  </w:style>
  <w:style w:type="paragraph" w:styleId="TOC7">
    <w:name w:val="toc 7"/>
    <w:basedOn w:val="TOC6"/>
    <w:next w:val="Normal"/>
    <w:semiHidden/>
    <w:rsid w:val="00C657B5"/>
    <w:pPr>
      <w:ind w:left="2268" w:hanging="2268"/>
    </w:pPr>
  </w:style>
  <w:style w:type="paragraph" w:styleId="ListBullet2">
    <w:name w:val="List Bullet 2"/>
    <w:basedOn w:val="ListBullet"/>
    <w:rsid w:val="00C657B5"/>
    <w:pPr>
      <w:numPr>
        <w:numId w:val="6"/>
      </w:numPr>
    </w:pPr>
  </w:style>
  <w:style w:type="paragraph" w:styleId="ListBullet">
    <w:name w:val="List Bullet"/>
    <w:basedOn w:val="BodyText"/>
    <w:rsid w:val="00C657B5"/>
    <w:pPr>
      <w:numPr>
        <w:numId w:val="5"/>
      </w:numPr>
    </w:pPr>
  </w:style>
  <w:style w:type="paragraph" w:styleId="ListBullet3">
    <w:name w:val="List Bullet 3"/>
    <w:basedOn w:val="ListBullet2"/>
    <w:rsid w:val="00C657B5"/>
    <w:pPr>
      <w:numPr>
        <w:numId w:val="7"/>
      </w:numPr>
    </w:pPr>
  </w:style>
  <w:style w:type="paragraph" w:customStyle="1" w:styleId="EQ">
    <w:name w:val="EQ"/>
    <w:basedOn w:val="Normal"/>
    <w:next w:val="Normal"/>
    <w:rsid w:val="00C657B5"/>
    <w:pPr>
      <w:keepLines/>
      <w:tabs>
        <w:tab w:val="center" w:pos="4536"/>
        <w:tab w:val="right" w:pos="9072"/>
      </w:tabs>
      <w:spacing w:after="180"/>
      <w:jc w:val="left"/>
    </w:pPr>
    <w:rPr>
      <w:noProof/>
      <w:lang w:eastAsia="en-US"/>
    </w:rPr>
  </w:style>
  <w:style w:type="paragraph" w:styleId="List2">
    <w:name w:val="List 2"/>
    <w:basedOn w:val="List"/>
    <w:rsid w:val="00C657B5"/>
    <w:pPr>
      <w:ind w:left="851"/>
    </w:pPr>
  </w:style>
  <w:style w:type="paragraph" w:styleId="List3">
    <w:name w:val="List 3"/>
    <w:basedOn w:val="List2"/>
    <w:rsid w:val="00C657B5"/>
    <w:pPr>
      <w:ind w:left="1135"/>
    </w:pPr>
  </w:style>
  <w:style w:type="paragraph" w:styleId="List4">
    <w:name w:val="List 4"/>
    <w:basedOn w:val="List3"/>
    <w:rsid w:val="00C657B5"/>
    <w:pPr>
      <w:ind w:left="1418"/>
    </w:pPr>
  </w:style>
  <w:style w:type="paragraph" w:styleId="List5">
    <w:name w:val="List 5"/>
    <w:basedOn w:val="List4"/>
    <w:rsid w:val="00C657B5"/>
    <w:pPr>
      <w:ind w:left="1702"/>
    </w:pPr>
  </w:style>
  <w:style w:type="paragraph" w:customStyle="1" w:styleId="EditorsNote">
    <w:name w:val="Editor's Note"/>
    <w:basedOn w:val="Normal"/>
    <w:rsid w:val="00C657B5"/>
    <w:pPr>
      <w:keepLines/>
      <w:spacing w:after="180"/>
      <w:ind w:left="1135" w:hanging="851"/>
      <w:jc w:val="left"/>
    </w:pPr>
    <w:rPr>
      <w:color w:val="FF0000"/>
      <w:lang w:eastAsia="en-US"/>
    </w:rPr>
  </w:style>
  <w:style w:type="paragraph" w:styleId="ListBullet4">
    <w:name w:val="List Bullet 4"/>
    <w:basedOn w:val="ListBullet3"/>
    <w:rsid w:val="00C657B5"/>
    <w:pPr>
      <w:numPr>
        <w:numId w:val="8"/>
      </w:numPr>
    </w:pPr>
  </w:style>
  <w:style w:type="paragraph" w:styleId="ListBullet5">
    <w:name w:val="List Bullet 5"/>
    <w:basedOn w:val="ListBullet4"/>
    <w:rsid w:val="00C657B5"/>
    <w:pPr>
      <w:numPr>
        <w:numId w:val="4"/>
      </w:numPr>
    </w:pPr>
  </w:style>
  <w:style w:type="paragraph" w:styleId="Footer">
    <w:name w:val="footer"/>
    <w:basedOn w:val="Header"/>
    <w:semiHidden/>
    <w:rsid w:val="00C657B5"/>
    <w:pPr>
      <w:jc w:val="center"/>
    </w:pPr>
    <w:rPr>
      <w:i/>
      <w:iCs/>
    </w:rPr>
  </w:style>
  <w:style w:type="paragraph" w:customStyle="1" w:styleId="Reference">
    <w:name w:val="Reference"/>
    <w:basedOn w:val="Normal"/>
    <w:rsid w:val="00C657B5"/>
    <w:pPr>
      <w:numPr>
        <w:numId w:val="2"/>
      </w:numPr>
    </w:pPr>
  </w:style>
  <w:style w:type="paragraph" w:styleId="BalloonText">
    <w:name w:val="Balloon Text"/>
    <w:basedOn w:val="Normal"/>
    <w:semiHidden/>
    <w:rsid w:val="00C657B5"/>
    <w:rPr>
      <w:rFonts w:ascii="Tahoma" w:hAnsi="Tahoma" w:cs="Tahoma"/>
      <w:sz w:val="16"/>
      <w:szCs w:val="16"/>
    </w:rPr>
  </w:style>
  <w:style w:type="character" w:styleId="PageNumber">
    <w:name w:val="page number"/>
    <w:basedOn w:val="DefaultParagraphFont"/>
    <w:semiHidden/>
    <w:rsid w:val="00C657B5"/>
  </w:style>
  <w:style w:type="paragraph" w:styleId="BodyText">
    <w:name w:val="Body Text"/>
    <w:basedOn w:val="Normal"/>
    <w:link w:val="BodyTextChar"/>
    <w:rsid w:val="00C657B5"/>
  </w:style>
  <w:style w:type="character" w:styleId="Hyperlink">
    <w:name w:val="Hyperlink"/>
    <w:uiPriority w:val="99"/>
    <w:rsid w:val="00C657B5"/>
    <w:rPr>
      <w:color w:val="0000FF"/>
      <w:u w:val="single"/>
      <w:lang w:val="en-GB"/>
    </w:rPr>
  </w:style>
  <w:style w:type="character" w:styleId="FollowedHyperlink">
    <w:name w:val="FollowedHyperlink"/>
    <w:semiHidden/>
    <w:rsid w:val="00C657B5"/>
    <w:rPr>
      <w:color w:val="FF0000"/>
      <w:u w:val="single"/>
    </w:rPr>
  </w:style>
  <w:style w:type="character" w:styleId="CommentReference">
    <w:name w:val="annotation reference"/>
    <w:semiHidden/>
    <w:rsid w:val="00C657B5"/>
    <w:rPr>
      <w:sz w:val="16"/>
      <w:szCs w:val="16"/>
    </w:rPr>
  </w:style>
  <w:style w:type="paragraph" w:styleId="CommentText">
    <w:name w:val="annotation text"/>
    <w:basedOn w:val="Normal"/>
    <w:link w:val="CommentTextChar"/>
    <w:semiHidden/>
    <w:rsid w:val="00C657B5"/>
  </w:style>
  <w:style w:type="paragraph" w:styleId="CommentSubject">
    <w:name w:val="annotation subject"/>
    <w:basedOn w:val="CommentText"/>
    <w:next w:val="CommentText"/>
    <w:semiHidden/>
    <w:rsid w:val="00C657B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657B5"/>
    <w:rPr>
      <w:rFonts w:ascii="Arial" w:hAnsi="Arial" w:cs="Arial"/>
      <w:sz w:val="36"/>
      <w:szCs w:val="36"/>
      <w:lang w:val="en-GB" w:eastAsia="zh-CN"/>
    </w:rPr>
  </w:style>
  <w:style w:type="paragraph" w:customStyle="1" w:styleId="B1">
    <w:name w:val="B1"/>
    <w:basedOn w:val="List"/>
    <w:link w:val="B1Char"/>
    <w:rsid w:val="00C657B5"/>
    <w:pPr>
      <w:spacing w:after="180"/>
      <w:jc w:val="left"/>
    </w:pPr>
    <w:rPr>
      <w:lang w:eastAsia="en-US"/>
    </w:rPr>
  </w:style>
  <w:style w:type="paragraph" w:customStyle="1" w:styleId="B2">
    <w:name w:val="B2"/>
    <w:basedOn w:val="List2"/>
    <w:link w:val="B2Car"/>
    <w:rsid w:val="00C657B5"/>
    <w:pPr>
      <w:spacing w:after="180"/>
      <w:jc w:val="left"/>
    </w:pPr>
    <w:rPr>
      <w:lang w:eastAsia="en-US"/>
    </w:rPr>
  </w:style>
  <w:style w:type="paragraph" w:customStyle="1" w:styleId="B3">
    <w:name w:val="B3"/>
    <w:basedOn w:val="List3"/>
    <w:rsid w:val="00C657B5"/>
    <w:pPr>
      <w:spacing w:after="180"/>
      <w:jc w:val="left"/>
    </w:pPr>
    <w:rPr>
      <w:lang w:eastAsia="en-US"/>
    </w:rPr>
  </w:style>
  <w:style w:type="paragraph" w:customStyle="1" w:styleId="B4">
    <w:name w:val="B4"/>
    <w:basedOn w:val="List4"/>
    <w:rsid w:val="00C657B5"/>
    <w:pPr>
      <w:spacing w:after="180"/>
      <w:jc w:val="left"/>
    </w:pPr>
    <w:rPr>
      <w:lang w:eastAsia="en-US"/>
    </w:rPr>
  </w:style>
  <w:style w:type="paragraph" w:customStyle="1" w:styleId="Proposal">
    <w:name w:val="Proposal"/>
    <w:basedOn w:val="Normal"/>
    <w:rsid w:val="00C657B5"/>
    <w:pPr>
      <w:numPr>
        <w:numId w:val="3"/>
      </w:numPr>
      <w:tabs>
        <w:tab w:val="clear" w:pos="1304"/>
        <w:tab w:val="left" w:pos="1701"/>
      </w:tabs>
      <w:ind w:left="1701" w:hanging="1701"/>
    </w:pPr>
    <w:rPr>
      <w:b/>
      <w:bCs/>
    </w:rPr>
  </w:style>
  <w:style w:type="character" w:customStyle="1" w:styleId="BodyTextChar">
    <w:name w:val="Body Text Char"/>
    <w:link w:val="BodyText"/>
    <w:rsid w:val="00C657B5"/>
    <w:rPr>
      <w:rFonts w:ascii="Arial" w:hAnsi="Arial"/>
      <w:lang w:val="en-GB" w:eastAsia="zh-CN"/>
    </w:rPr>
  </w:style>
  <w:style w:type="paragraph" w:customStyle="1" w:styleId="B5">
    <w:name w:val="B5"/>
    <w:basedOn w:val="List5"/>
    <w:rsid w:val="00C657B5"/>
    <w:pPr>
      <w:spacing w:after="180"/>
      <w:jc w:val="left"/>
    </w:pPr>
    <w:rPr>
      <w:lang w:eastAsia="en-US"/>
    </w:rPr>
  </w:style>
  <w:style w:type="paragraph" w:customStyle="1" w:styleId="EX">
    <w:name w:val="EX"/>
    <w:basedOn w:val="Normal"/>
    <w:rsid w:val="00C657B5"/>
    <w:pPr>
      <w:keepLines/>
      <w:spacing w:after="180"/>
      <w:ind w:left="1702" w:hanging="1418"/>
      <w:jc w:val="left"/>
    </w:pPr>
    <w:rPr>
      <w:lang w:eastAsia="en-US"/>
    </w:rPr>
  </w:style>
  <w:style w:type="paragraph" w:customStyle="1" w:styleId="EW">
    <w:name w:val="EW"/>
    <w:basedOn w:val="EX"/>
    <w:rsid w:val="00C657B5"/>
    <w:pPr>
      <w:spacing w:after="0"/>
    </w:pPr>
  </w:style>
  <w:style w:type="paragraph" w:customStyle="1" w:styleId="TAL">
    <w:name w:val="TAL"/>
    <w:basedOn w:val="Normal"/>
    <w:rsid w:val="00C657B5"/>
    <w:pPr>
      <w:keepNext/>
      <w:keepLines/>
      <w:spacing w:after="0"/>
      <w:jc w:val="left"/>
    </w:pPr>
    <w:rPr>
      <w:sz w:val="18"/>
      <w:lang w:eastAsia="en-US"/>
    </w:rPr>
  </w:style>
  <w:style w:type="paragraph" w:customStyle="1" w:styleId="TAC">
    <w:name w:val="TAC"/>
    <w:basedOn w:val="TAL"/>
    <w:rsid w:val="00C657B5"/>
    <w:pPr>
      <w:jc w:val="center"/>
    </w:pPr>
  </w:style>
  <w:style w:type="paragraph" w:customStyle="1" w:styleId="TAH">
    <w:name w:val="TAH"/>
    <w:basedOn w:val="TAC"/>
    <w:rsid w:val="00C657B5"/>
    <w:rPr>
      <w:b/>
    </w:rPr>
  </w:style>
  <w:style w:type="paragraph" w:customStyle="1" w:styleId="TAN">
    <w:name w:val="TAN"/>
    <w:basedOn w:val="TAL"/>
    <w:rsid w:val="00C657B5"/>
    <w:pPr>
      <w:ind w:left="851" w:hanging="851"/>
    </w:pPr>
  </w:style>
  <w:style w:type="paragraph" w:customStyle="1" w:styleId="TAR">
    <w:name w:val="TAR"/>
    <w:basedOn w:val="TAL"/>
    <w:rsid w:val="00C657B5"/>
    <w:pPr>
      <w:jc w:val="right"/>
    </w:pPr>
  </w:style>
  <w:style w:type="paragraph" w:customStyle="1" w:styleId="TH">
    <w:name w:val="TH"/>
    <w:basedOn w:val="Normal"/>
    <w:rsid w:val="00C657B5"/>
    <w:pPr>
      <w:keepNext/>
      <w:keepLines/>
      <w:spacing w:before="60" w:after="180"/>
      <w:jc w:val="center"/>
    </w:pPr>
    <w:rPr>
      <w:b/>
      <w:lang w:eastAsia="en-US"/>
    </w:rPr>
  </w:style>
  <w:style w:type="paragraph" w:customStyle="1" w:styleId="TF">
    <w:name w:val="TF"/>
    <w:basedOn w:val="TH"/>
    <w:rsid w:val="00C657B5"/>
    <w:pPr>
      <w:keepNext w:val="0"/>
      <w:spacing w:before="0" w:after="240"/>
    </w:pPr>
  </w:style>
  <w:style w:type="paragraph" w:customStyle="1" w:styleId="TT">
    <w:name w:val="TT"/>
    <w:basedOn w:val="Heading1"/>
    <w:next w:val="Normal"/>
    <w:rsid w:val="00C657B5"/>
    <w:pPr>
      <w:numPr>
        <w:numId w:val="0"/>
      </w:numPr>
      <w:ind w:left="1134" w:hanging="1134"/>
      <w:outlineLvl w:val="9"/>
    </w:pPr>
    <w:rPr>
      <w:rFonts w:cs="Times New Roman"/>
      <w:szCs w:val="20"/>
      <w:lang w:eastAsia="en-US"/>
    </w:rPr>
  </w:style>
  <w:style w:type="paragraph" w:customStyle="1" w:styleId="ZA">
    <w:name w:val="ZA"/>
    <w:rsid w:val="00C657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657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657B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C657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C657B5"/>
  </w:style>
  <w:style w:type="paragraph" w:customStyle="1" w:styleId="ZH">
    <w:name w:val="ZH"/>
    <w:rsid w:val="00C657B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C657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C657B5"/>
    <w:pPr>
      <w:framePr w:hRule="auto" w:wrap="notBeside" w:y="852"/>
    </w:pPr>
    <w:rPr>
      <w:i w:val="0"/>
      <w:sz w:val="40"/>
    </w:rPr>
  </w:style>
  <w:style w:type="paragraph" w:customStyle="1" w:styleId="ZU">
    <w:name w:val="ZU"/>
    <w:rsid w:val="00C657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657B5"/>
    <w:pPr>
      <w:framePr w:wrap="notBeside" w:y="16161"/>
    </w:pPr>
  </w:style>
  <w:style w:type="paragraph" w:customStyle="1" w:styleId="FP">
    <w:name w:val="FP"/>
    <w:basedOn w:val="Normal"/>
    <w:rsid w:val="00C657B5"/>
    <w:pPr>
      <w:spacing w:after="0"/>
      <w:jc w:val="left"/>
    </w:pPr>
    <w:rPr>
      <w:lang w:eastAsia="en-US"/>
    </w:rPr>
  </w:style>
  <w:style w:type="paragraph" w:customStyle="1" w:styleId="Observation">
    <w:name w:val="Observation"/>
    <w:basedOn w:val="Proposal"/>
    <w:qFormat/>
    <w:rsid w:val="00C657B5"/>
    <w:pPr>
      <w:numPr>
        <w:numId w:val="13"/>
      </w:numPr>
      <w:ind w:left="1701" w:hanging="1701"/>
    </w:pPr>
  </w:style>
  <w:style w:type="paragraph" w:styleId="TableofFigures">
    <w:name w:val="table of figures"/>
    <w:basedOn w:val="Normal"/>
    <w:next w:val="Normal"/>
    <w:uiPriority w:val="99"/>
    <w:rsid w:val="00C657B5"/>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LightList-Accent31">
    <w:name w:val="Light List - Accent 31"/>
    <w:hidden/>
    <w:uiPriority w:val="99"/>
    <w:semiHidden/>
    <w:rsid w:val="00E71AA1"/>
    <w:rPr>
      <w:rFonts w:ascii="Arial" w:hAnsi="Arial"/>
      <w:lang w:val="en-GB" w:eastAsia="zh-CN"/>
    </w:rPr>
  </w:style>
  <w:style w:type="paragraph" w:customStyle="1" w:styleId="LightGrid-Accent31">
    <w:name w:val="Light Grid - Accent 31"/>
    <w:basedOn w:val="Normal"/>
    <w:uiPriority w:val="34"/>
    <w:qFormat/>
    <w:rsid w:val="00B819D2"/>
    <w:pPr>
      <w:overflowPunct/>
      <w:autoSpaceDE/>
      <w:autoSpaceDN/>
      <w:adjustRightInd/>
      <w:spacing w:after="0"/>
      <w:ind w:left="720"/>
      <w:jc w:val="left"/>
      <w:textAlignment w:val="auto"/>
    </w:pPr>
    <w:rPr>
      <w:rFonts w:ascii="Calibri" w:eastAsia="SimSun" w:hAnsi="Calibri"/>
      <w:sz w:val="22"/>
      <w:szCs w:val="22"/>
      <w:lang w:val="sv-SE"/>
    </w:rPr>
  </w:style>
  <w:style w:type="paragraph" w:customStyle="1" w:styleId="IvDInstructiontext">
    <w:name w:val="IvD Instructiontext"/>
    <w:basedOn w:val="BodyText"/>
    <w:link w:val="IvDInstructiontextChar"/>
    <w:uiPriority w:val="99"/>
    <w:qFormat/>
    <w:rsid w:val="00C01C6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C01C6A"/>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C01C6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01C6A"/>
    <w:rPr>
      <w:rFonts w:ascii="Arial" w:hAnsi="Arial"/>
      <w:spacing w:val="2"/>
      <w:lang w:val="en-US" w:eastAsia="en-US"/>
    </w:rPr>
  </w:style>
  <w:style w:type="paragraph" w:customStyle="1" w:styleId="Pro">
    <w:name w:val="Pro"/>
    <w:basedOn w:val="Normal"/>
    <w:qFormat/>
    <w:rsid w:val="00731BAB"/>
  </w:style>
  <w:style w:type="character" w:customStyle="1" w:styleId="B1Char">
    <w:name w:val="B1 Char"/>
    <w:link w:val="B1"/>
    <w:locked/>
    <w:rsid w:val="00BE18D1"/>
    <w:rPr>
      <w:rFonts w:ascii="Arial" w:hAnsi="Arial"/>
      <w:lang w:val="en-GB" w:eastAsia="en-US"/>
    </w:rPr>
  </w:style>
  <w:style w:type="paragraph" w:customStyle="1" w:styleId="Doc-text2">
    <w:name w:val="Doc-text2"/>
    <w:basedOn w:val="Normal"/>
    <w:link w:val="Doc-text2Char"/>
    <w:qFormat/>
    <w:rsid w:val="005756B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756B5"/>
    <w:rPr>
      <w:rFonts w:ascii="Arial" w:eastAsia="MS Mincho" w:hAnsi="Arial"/>
      <w:szCs w:val="24"/>
      <w:lang w:val="en-GB" w:eastAsia="en-GB"/>
    </w:rPr>
  </w:style>
  <w:style w:type="paragraph" w:styleId="Revision">
    <w:name w:val="Revision"/>
    <w:hidden/>
    <w:uiPriority w:val="71"/>
    <w:semiHidden/>
    <w:rsid w:val="00AE3757"/>
    <w:rPr>
      <w:rFonts w:ascii="Arial" w:hAnsi="Arial"/>
      <w:lang w:val="en-GB" w:eastAsia="zh-CN"/>
    </w:rPr>
  </w:style>
  <w:style w:type="table" w:styleId="TableGrid">
    <w:name w:val="Table Grid"/>
    <w:basedOn w:val="TableNormal"/>
    <w:rsid w:val="00BE5C7A"/>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72"/>
    <w:qFormat/>
    <w:rsid w:val="00F32D77"/>
    <w:pPr>
      <w:ind w:left="720"/>
      <w:contextualSpacing/>
    </w:pPr>
  </w:style>
  <w:style w:type="paragraph" w:customStyle="1" w:styleId="NO">
    <w:name w:val="NO"/>
    <w:basedOn w:val="Normal"/>
    <w:rsid w:val="00564922"/>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B1Zchn">
    <w:name w:val="B1 Zchn"/>
    <w:basedOn w:val="DefaultParagraphFont"/>
    <w:locked/>
    <w:rsid w:val="00564922"/>
    <w:rPr>
      <w:rFonts w:ascii="Arial" w:eastAsia="SimSun" w:hAnsi="Arial" w:cs="Arial"/>
      <w:color w:val="0000FF"/>
      <w:kern w:val="2"/>
      <w:lang w:val="en-GB" w:eastAsia="en-US" w:bidi="ar-SA"/>
    </w:rPr>
  </w:style>
  <w:style w:type="character" w:customStyle="1" w:styleId="B2Car">
    <w:name w:val="B2 Car"/>
    <w:link w:val="B2"/>
    <w:locked/>
    <w:rsid w:val="00565C59"/>
    <w:rPr>
      <w:rFonts w:ascii="Arial" w:hAnsi="Arial"/>
      <w:lang w:val="en-GB" w:eastAsia="en-US"/>
    </w:rPr>
  </w:style>
  <w:style w:type="character" w:styleId="Emphasis">
    <w:name w:val="Emphasis"/>
    <w:basedOn w:val="DefaultParagraphFont"/>
    <w:uiPriority w:val="20"/>
    <w:qFormat/>
    <w:rsid w:val="00A555C7"/>
    <w:rPr>
      <w:b/>
      <w:bCs/>
      <w:i w:val="0"/>
      <w:iCs w:val="0"/>
    </w:rPr>
  </w:style>
  <w:style w:type="character" w:customStyle="1" w:styleId="st1">
    <w:name w:val="st1"/>
    <w:basedOn w:val="DefaultParagraphFont"/>
    <w:rsid w:val="00A555C7"/>
  </w:style>
  <w:style w:type="character" w:customStyle="1" w:styleId="CommentTextChar">
    <w:name w:val="Comment Text Char"/>
    <w:basedOn w:val="DefaultParagraphFont"/>
    <w:link w:val="CommentText"/>
    <w:semiHidden/>
    <w:rsid w:val="00397657"/>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999405">
      <w:bodyDiv w:val="1"/>
      <w:marLeft w:val="0"/>
      <w:marRight w:val="0"/>
      <w:marTop w:val="0"/>
      <w:marBottom w:val="0"/>
      <w:divBdr>
        <w:top w:val="none" w:sz="0" w:space="0" w:color="auto"/>
        <w:left w:val="none" w:sz="0" w:space="0" w:color="auto"/>
        <w:bottom w:val="none" w:sz="0" w:space="0" w:color="auto"/>
        <w:right w:val="none" w:sz="0" w:space="0" w:color="auto"/>
      </w:divBdr>
    </w:div>
    <w:div w:id="510724050">
      <w:bodyDiv w:val="1"/>
      <w:marLeft w:val="0"/>
      <w:marRight w:val="0"/>
      <w:marTop w:val="0"/>
      <w:marBottom w:val="0"/>
      <w:divBdr>
        <w:top w:val="none" w:sz="0" w:space="0" w:color="auto"/>
        <w:left w:val="none" w:sz="0" w:space="0" w:color="auto"/>
        <w:bottom w:val="none" w:sz="0" w:space="0" w:color="auto"/>
        <w:right w:val="none" w:sz="0" w:space="0" w:color="auto"/>
      </w:divBdr>
    </w:div>
    <w:div w:id="570579207">
      <w:bodyDiv w:val="1"/>
      <w:marLeft w:val="0"/>
      <w:marRight w:val="0"/>
      <w:marTop w:val="0"/>
      <w:marBottom w:val="0"/>
      <w:divBdr>
        <w:top w:val="none" w:sz="0" w:space="0" w:color="auto"/>
        <w:left w:val="none" w:sz="0" w:space="0" w:color="auto"/>
        <w:bottom w:val="none" w:sz="0" w:space="0" w:color="auto"/>
        <w:right w:val="none" w:sz="0" w:space="0" w:color="auto"/>
      </w:divBdr>
      <w:divsChild>
        <w:div w:id="483473324">
          <w:marLeft w:val="274"/>
          <w:marRight w:val="0"/>
          <w:marTop w:val="96"/>
          <w:marBottom w:val="0"/>
          <w:divBdr>
            <w:top w:val="none" w:sz="0" w:space="0" w:color="auto"/>
            <w:left w:val="none" w:sz="0" w:space="0" w:color="auto"/>
            <w:bottom w:val="none" w:sz="0" w:space="0" w:color="auto"/>
            <w:right w:val="none" w:sz="0" w:space="0" w:color="auto"/>
          </w:divBdr>
        </w:div>
        <w:div w:id="548108591">
          <w:marLeft w:val="274"/>
          <w:marRight w:val="0"/>
          <w:marTop w:val="96"/>
          <w:marBottom w:val="0"/>
          <w:divBdr>
            <w:top w:val="none" w:sz="0" w:space="0" w:color="auto"/>
            <w:left w:val="none" w:sz="0" w:space="0" w:color="auto"/>
            <w:bottom w:val="none" w:sz="0" w:space="0" w:color="auto"/>
            <w:right w:val="none" w:sz="0" w:space="0" w:color="auto"/>
          </w:divBdr>
        </w:div>
        <w:div w:id="768231522">
          <w:marLeft w:val="835"/>
          <w:marRight w:val="0"/>
          <w:marTop w:val="86"/>
          <w:marBottom w:val="0"/>
          <w:divBdr>
            <w:top w:val="none" w:sz="0" w:space="0" w:color="auto"/>
            <w:left w:val="none" w:sz="0" w:space="0" w:color="auto"/>
            <w:bottom w:val="none" w:sz="0" w:space="0" w:color="auto"/>
            <w:right w:val="none" w:sz="0" w:space="0" w:color="auto"/>
          </w:divBdr>
        </w:div>
        <w:div w:id="923756845">
          <w:marLeft w:val="274"/>
          <w:marRight w:val="0"/>
          <w:marTop w:val="96"/>
          <w:marBottom w:val="0"/>
          <w:divBdr>
            <w:top w:val="none" w:sz="0" w:space="0" w:color="auto"/>
            <w:left w:val="none" w:sz="0" w:space="0" w:color="auto"/>
            <w:bottom w:val="none" w:sz="0" w:space="0" w:color="auto"/>
            <w:right w:val="none" w:sz="0" w:space="0" w:color="auto"/>
          </w:divBdr>
        </w:div>
        <w:div w:id="1246572841">
          <w:marLeft w:val="835"/>
          <w:marRight w:val="0"/>
          <w:marTop w:val="77"/>
          <w:marBottom w:val="0"/>
          <w:divBdr>
            <w:top w:val="none" w:sz="0" w:space="0" w:color="auto"/>
            <w:left w:val="none" w:sz="0" w:space="0" w:color="auto"/>
            <w:bottom w:val="none" w:sz="0" w:space="0" w:color="auto"/>
            <w:right w:val="none" w:sz="0" w:space="0" w:color="auto"/>
          </w:divBdr>
        </w:div>
        <w:div w:id="1811481899">
          <w:marLeft w:val="274"/>
          <w:marRight w:val="0"/>
          <w:marTop w:val="96"/>
          <w:marBottom w:val="0"/>
          <w:divBdr>
            <w:top w:val="none" w:sz="0" w:space="0" w:color="auto"/>
            <w:left w:val="none" w:sz="0" w:space="0" w:color="auto"/>
            <w:bottom w:val="none" w:sz="0" w:space="0" w:color="auto"/>
            <w:right w:val="none" w:sz="0" w:space="0" w:color="auto"/>
          </w:divBdr>
        </w:div>
      </w:divsChild>
    </w:div>
    <w:div w:id="601493742">
      <w:bodyDiv w:val="1"/>
      <w:marLeft w:val="0"/>
      <w:marRight w:val="0"/>
      <w:marTop w:val="0"/>
      <w:marBottom w:val="0"/>
      <w:divBdr>
        <w:top w:val="none" w:sz="0" w:space="0" w:color="auto"/>
        <w:left w:val="none" w:sz="0" w:space="0" w:color="auto"/>
        <w:bottom w:val="none" w:sz="0" w:space="0" w:color="auto"/>
        <w:right w:val="none" w:sz="0" w:space="0" w:color="auto"/>
      </w:divBdr>
    </w:div>
    <w:div w:id="1030758304">
      <w:bodyDiv w:val="1"/>
      <w:marLeft w:val="0"/>
      <w:marRight w:val="0"/>
      <w:marTop w:val="0"/>
      <w:marBottom w:val="0"/>
      <w:divBdr>
        <w:top w:val="none" w:sz="0" w:space="0" w:color="auto"/>
        <w:left w:val="none" w:sz="0" w:space="0" w:color="auto"/>
        <w:bottom w:val="none" w:sz="0" w:space="0" w:color="auto"/>
        <w:right w:val="none" w:sz="0" w:space="0" w:color="auto"/>
      </w:divBdr>
    </w:div>
    <w:div w:id="1241604063">
      <w:bodyDiv w:val="1"/>
      <w:marLeft w:val="0"/>
      <w:marRight w:val="0"/>
      <w:marTop w:val="0"/>
      <w:marBottom w:val="0"/>
      <w:divBdr>
        <w:top w:val="none" w:sz="0" w:space="0" w:color="auto"/>
        <w:left w:val="none" w:sz="0" w:space="0" w:color="auto"/>
        <w:bottom w:val="none" w:sz="0" w:space="0" w:color="auto"/>
        <w:right w:val="none" w:sz="0" w:space="0" w:color="auto"/>
      </w:divBdr>
    </w:div>
    <w:div w:id="1274946519">
      <w:bodyDiv w:val="1"/>
      <w:marLeft w:val="0"/>
      <w:marRight w:val="0"/>
      <w:marTop w:val="0"/>
      <w:marBottom w:val="0"/>
      <w:divBdr>
        <w:top w:val="none" w:sz="0" w:space="0" w:color="auto"/>
        <w:left w:val="none" w:sz="0" w:space="0" w:color="auto"/>
        <w:bottom w:val="none" w:sz="0" w:space="0" w:color="auto"/>
        <w:right w:val="none" w:sz="0" w:space="0" w:color="auto"/>
      </w:divBdr>
    </w:div>
    <w:div w:id="1281689673">
      <w:bodyDiv w:val="1"/>
      <w:marLeft w:val="0"/>
      <w:marRight w:val="0"/>
      <w:marTop w:val="0"/>
      <w:marBottom w:val="0"/>
      <w:divBdr>
        <w:top w:val="none" w:sz="0" w:space="0" w:color="auto"/>
        <w:left w:val="none" w:sz="0" w:space="0" w:color="auto"/>
        <w:bottom w:val="none" w:sz="0" w:space="0" w:color="auto"/>
        <w:right w:val="none" w:sz="0" w:space="0" w:color="auto"/>
      </w:divBdr>
    </w:div>
    <w:div w:id="1585912901">
      <w:bodyDiv w:val="1"/>
      <w:marLeft w:val="0"/>
      <w:marRight w:val="0"/>
      <w:marTop w:val="0"/>
      <w:marBottom w:val="0"/>
      <w:divBdr>
        <w:top w:val="none" w:sz="0" w:space="0" w:color="auto"/>
        <w:left w:val="none" w:sz="0" w:space="0" w:color="auto"/>
        <w:bottom w:val="none" w:sz="0" w:space="0" w:color="auto"/>
        <w:right w:val="none" w:sz="0" w:space="0" w:color="auto"/>
      </w:divBdr>
      <w:divsChild>
        <w:div w:id="175770920">
          <w:marLeft w:val="274"/>
          <w:marRight w:val="0"/>
          <w:marTop w:val="115"/>
          <w:marBottom w:val="0"/>
          <w:divBdr>
            <w:top w:val="none" w:sz="0" w:space="0" w:color="auto"/>
            <w:left w:val="none" w:sz="0" w:space="0" w:color="auto"/>
            <w:bottom w:val="none" w:sz="0" w:space="0" w:color="auto"/>
            <w:right w:val="none" w:sz="0" w:space="0" w:color="auto"/>
          </w:divBdr>
        </w:div>
        <w:div w:id="442186450">
          <w:marLeft w:val="835"/>
          <w:marRight w:val="0"/>
          <w:marTop w:val="96"/>
          <w:marBottom w:val="0"/>
          <w:divBdr>
            <w:top w:val="none" w:sz="0" w:space="0" w:color="auto"/>
            <w:left w:val="none" w:sz="0" w:space="0" w:color="auto"/>
            <w:bottom w:val="none" w:sz="0" w:space="0" w:color="auto"/>
            <w:right w:val="none" w:sz="0" w:space="0" w:color="auto"/>
          </w:divBdr>
        </w:div>
        <w:div w:id="2089619617">
          <w:marLeft w:val="835"/>
          <w:marRight w:val="0"/>
          <w:marTop w:val="96"/>
          <w:marBottom w:val="0"/>
          <w:divBdr>
            <w:top w:val="none" w:sz="0" w:space="0" w:color="auto"/>
            <w:left w:val="none" w:sz="0" w:space="0" w:color="auto"/>
            <w:bottom w:val="none" w:sz="0" w:space="0" w:color="auto"/>
            <w:right w:val="none" w:sz="0" w:space="0" w:color="auto"/>
          </w:divBdr>
        </w:div>
        <w:div w:id="1984309120">
          <w:marLeft w:val="1411"/>
          <w:marRight w:val="0"/>
          <w:marTop w:val="96"/>
          <w:marBottom w:val="0"/>
          <w:divBdr>
            <w:top w:val="none" w:sz="0" w:space="0" w:color="auto"/>
            <w:left w:val="none" w:sz="0" w:space="0" w:color="auto"/>
            <w:bottom w:val="none" w:sz="0" w:space="0" w:color="auto"/>
            <w:right w:val="none" w:sz="0" w:space="0" w:color="auto"/>
          </w:divBdr>
        </w:div>
      </w:divsChild>
    </w:div>
    <w:div w:id="1766881378">
      <w:bodyDiv w:val="1"/>
      <w:marLeft w:val="0"/>
      <w:marRight w:val="0"/>
      <w:marTop w:val="0"/>
      <w:marBottom w:val="0"/>
      <w:divBdr>
        <w:top w:val="none" w:sz="0" w:space="0" w:color="auto"/>
        <w:left w:val="none" w:sz="0" w:space="0" w:color="auto"/>
        <w:bottom w:val="none" w:sz="0" w:space="0" w:color="auto"/>
        <w:right w:val="none" w:sz="0" w:space="0" w:color="auto"/>
      </w:divBdr>
    </w:div>
    <w:div w:id="198785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png"/><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82</Value>
      <Value>10</Value>
      <Value>8</Value>
      <Value>9</Value>
      <Value>100</Value>
      <Value>3</Value>
      <Value>118</Value>
      <Value>117</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MAC</TermName>
          <TermId xmlns="http://schemas.microsoft.com/office/infopath/2007/PartnerControls">3f738cdc-f215-4a33-b766-14880b973699</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Scheduling</TermName>
          <TermId xmlns="http://schemas.microsoft.com/office/infopath/2007/PartnerControls">97554e01-9e86-4026-9f27-4e4b9212ec86</TermId>
        </TermInfo>
        <TermInfo xmlns="http://schemas.microsoft.com/office/infopath/2007/PartnerControls">
          <TermName xmlns="http://schemas.microsoft.com/office/infopath/2007/PartnerControls">up</TermName>
          <TermId xmlns="http://schemas.microsoft.com/office/infopath/2007/PartnerControls">dad9d10c-46b1-49ae-93b5-a589838d0090</TermId>
        </TermInfo>
      </Terms>
    </TaxKeywordTaxHTField>
    <EriCOLLCustomerTaxHTField0 xmlns="08b2df90-05d3-4030-90d4-c9feeb4a1cd9">
      <Terms xmlns="http://schemas.microsoft.com/office/infopath/2007/PartnerControls"/>
    </EriCOLLCustomerTaxHTField0>
    <_dlc_DocId xmlns="08b2df90-05d3-4030-90d4-c9feeb4a1cd9">5NUHHDQN7SK2-1-112260</_dlc_DocId>
    <_dlc_DocIdUrl xmlns="08b2df90-05d3-4030-90d4-c9feeb4a1cd9">
      <Url>https://ericoll.internal.ericsson.com/sites/STAR/_layouts/DocIdRedir.aspx?ID=5NUHHDQN7SK2-1-112260</Url>
      <Description>5NUHHDQN7SK2-1-112260</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35285-4BC0-4BAB-84E7-67EB2D4FEBF1}"/>
</file>

<file path=customXml/itemProps2.xml><?xml version="1.0" encoding="utf-8"?>
<ds:datastoreItem xmlns:ds="http://schemas.openxmlformats.org/officeDocument/2006/customXml" ds:itemID="{AA93CEE3-03D7-441E-B22C-282D3950E5EC}"/>
</file>

<file path=customXml/itemProps3.xml><?xml version="1.0" encoding="utf-8"?>
<ds:datastoreItem xmlns:ds="http://schemas.openxmlformats.org/officeDocument/2006/customXml" ds:itemID="{CC5AAA52-1BD5-4C35-A4C5-6B758A5C75CC}"/>
</file>

<file path=customXml/itemProps4.xml><?xml version="1.0" encoding="utf-8"?>
<ds:datastoreItem xmlns:ds="http://schemas.openxmlformats.org/officeDocument/2006/customXml" ds:itemID="{01CF89CF-15AB-432D-BE4A-323B83856366}"/>
</file>

<file path=customXml/itemProps5.xml><?xml version="1.0" encoding="utf-8"?>
<ds:datastoreItem xmlns:ds="http://schemas.openxmlformats.org/officeDocument/2006/customXml" ds:itemID="{2CB84CBE-D65C-4DFC-9BB4-C67DCD109C0F}"/>
</file>

<file path=customXml/itemProps6.xml><?xml version="1.0" encoding="utf-8"?>
<ds:datastoreItem xmlns:ds="http://schemas.openxmlformats.org/officeDocument/2006/customXml" ds:itemID="{08DC735C-0730-49EB-9945-421F2161BE48}"/>
</file>

<file path=customXml/itemProps7.xml><?xml version="1.0" encoding="utf-8"?>
<ds:datastoreItem xmlns:ds="http://schemas.openxmlformats.org/officeDocument/2006/customXml" ds:itemID="{A3327499-5943-284D-A173-CD5153DAB12E}"/>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2077</TotalTime>
  <Pages>4</Pages>
  <Words>1481</Words>
  <Characters>8446</Characters>
  <Application>Microsoft Macintosh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NR; UP; MAC; Scheduling; Ericsson; TDoc; 3GPP</cp:keywords>
  <cp:lastModifiedBy>Henrik Enbuske</cp:lastModifiedBy>
  <cp:revision>350</cp:revision>
  <cp:lastPrinted>2016-12-01T08:25:00Z</cp:lastPrinted>
  <dcterms:created xsi:type="dcterms:W3CDTF">2016-12-13T11:40:00Z</dcterms:created>
  <dcterms:modified xsi:type="dcterms:W3CDTF">2017-03-24T17:13:00Z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2016-08-08T22:00:00Z</vt:filetime>
  </property>
  <property fmtid="{D5CDD505-2E9C-101B-9397-08002B2CF9AE}" pid="3" name="EriCOLLCategory">
    <vt:lpwstr>1;#Research|7f1f7aab-c784-40ec-8666-825d2ac7abef</vt:lpwstr>
  </property>
  <property fmtid="{D5CDD505-2E9C-101B-9397-08002B2CF9AE}" pid="4" name="EriCOLLOrganizationUnit">
    <vt:lpwstr>3;#GFTE ER WAN APMBB Deployments ＆ Spectrum|644d70e3-351b-4c06-8b80-4aa32d170e18</vt:lpwstr>
  </property>
  <property fmtid="{D5CDD505-2E9C-101B-9397-08002B2CF9AE}" pid="5" name="TaxKeyword">
    <vt:lpwstr>10;#3GPP|6a3890dd-b3c6-4ee1-9283-043167dd414d;#9;#TDoc|b7cb4b2e-7c24-4f9d-967d-e29f765ecb8a;#8;#Ericsson|c60ff206-3dbb-4410-a86e-50fd188c386c;#117;#MAC|3f738cdc-f215-4a33-b766-14880b973699;#82;#NR|7b72ee01-8348-4904-90db-1cf7b18d5474;#118;#Scheduling|97554e01-9e86-4026-9f27-4e4b9212ec86;#100;#up|dad9d10c-46b1-49ae-93b5-a589838d0090</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0x010100BB337192E63E44A7A744CE7393F41F4E00FC0FCE182CC02C499F00CC069FCD5A25</vt:lpwstr>
  </property>
  <property fmtid="{D5CDD505-2E9C-101B-9397-08002B2CF9AE}" pid="13" name="_dlc_DocIdItemGuid">
    <vt:lpwstr>019db286-26a1-40d7-932b-5c79b67b2ed0</vt:lpwstr>
  </property>
</Properties>
</file>